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F67" w:rsidRDefault="00F32EF6" w:rsidP="00F32EF6">
      <w:pPr>
        <w:rPr>
          <w:rFonts w:ascii="ＭＳ ゴシック" w:eastAsia="ＭＳ ゴシック" w:hAnsi="ＭＳ ゴシック"/>
          <w:sz w:val="22"/>
        </w:rPr>
      </w:pPr>
      <w:r w:rsidRPr="00427B12">
        <w:rPr>
          <w:rFonts w:eastAsia="ＭＳ ゴシック" w:hint="eastAsia"/>
          <w:b/>
          <w:bCs/>
        </w:rPr>
        <w:t>男女平等推進プラン</w:t>
      </w:r>
      <w:r w:rsidR="00346CDD">
        <w:rPr>
          <w:rFonts w:eastAsia="ＭＳ ゴシック" w:hint="eastAsia"/>
          <w:b/>
          <w:bCs/>
        </w:rPr>
        <w:t>（第２次）</w:t>
      </w:r>
      <w:r w:rsidRPr="00427B12">
        <w:rPr>
          <w:rFonts w:eastAsia="ＭＳ ゴシック" w:hint="eastAsia"/>
          <w:b/>
          <w:bCs/>
        </w:rPr>
        <w:t>の</w:t>
      </w:r>
      <w:r w:rsidRPr="00427B12">
        <w:rPr>
          <w:rFonts w:ascii="ＭＳ ゴシック" w:eastAsia="ＭＳ ゴシック" w:hAnsi="ＭＳ ゴシック" w:hint="eastAsia"/>
          <w:b/>
          <w:bCs/>
        </w:rPr>
        <w:t>体系</w:t>
      </w:r>
    </w:p>
    <w:tbl>
      <w:tblPr>
        <w:tblStyle w:val="21"/>
        <w:tblpPr w:leftFromText="142" w:rightFromText="142" w:vertAnchor="text" w:horzAnchor="margin" w:tblpY="105"/>
        <w:tblW w:w="5082" w:type="pct"/>
        <w:tblLook w:val="04A0" w:firstRow="1" w:lastRow="0" w:firstColumn="1" w:lastColumn="0" w:noHBand="0" w:noVBand="1"/>
      </w:tblPr>
      <w:tblGrid>
        <w:gridCol w:w="1445"/>
        <w:gridCol w:w="3276"/>
        <w:gridCol w:w="5045"/>
      </w:tblGrid>
      <w:tr w:rsidR="00B43FE9" w:rsidRPr="00C36CA1" w:rsidTr="00B43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19"/>
                <w:szCs w:val="19"/>
              </w:rPr>
            </w:pPr>
            <w:r w:rsidRPr="00574A02">
              <w:rPr>
                <w:rFonts w:ascii="ＭＳ ゴシック" w:eastAsia="ＭＳ ゴシック" w:hAnsi="ＭＳ ゴシック"/>
                <w:sz w:val="19"/>
                <w:szCs w:val="19"/>
              </w:rPr>
              <w:t>基本目標</w:t>
            </w:r>
          </w:p>
        </w:tc>
        <w:tc>
          <w:tcPr>
            <w:tcW w:w="1677" w:type="pct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9"/>
                <w:szCs w:val="19"/>
              </w:rPr>
            </w:pPr>
            <w:r w:rsidRPr="00574A02">
              <w:rPr>
                <w:rFonts w:ascii="ＭＳ ゴシック" w:eastAsia="ＭＳ ゴシック" w:hAnsi="ＭＳ ゴシック" w:hint="eastAsia"/>
                <w:sz w:val="19"/>
                <w:szCs w:val="19"/>
              </w:rPr>
              <w:t>重点課題</w:t>
            </w:r>
          </w:p>
        </w:tc>
        <w:tc>
          <w:tcPr>
            <w:tcW w:w="2583" w:type="pct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9"/>
                <w:szCs w:val="19"/>
              </w:rPr>
            </w:pPr>
            <w:r>
              <w:rPr>
                <w:rFonts w:ascii="ＭＳ ゴシック" w:eastAsia="ＭＳ ゴシック" w:hAnsi="ＭＳ ゴシック" w:hint="eastAsia"/>
                <w:sz w:val="19"/>
                <w:szCs w:val="19"/>
              </w:rPr>
              <w:t>施策の方向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43FE9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Ⅰ</w:t>
            </w: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あらゆる分野において、男女が平等に参画できる環境づくり</w:t>
            </w:r>
          </w:p>
        </w:tc>
        <w:tc>
          <w:tcPr>
            <w:tcW w:w="167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１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政策・方針決定過程への男女</w:t>
            </w:r>
            <w:r>
              <w:rPr>
                <w:rFonts w:hint="eastAsia"/>
                <w:sz w:val="19"/>
                <w:szCs w:val="19"/>
              </w:rPr>
              <w:t>平等・</w:t>
            </w:r>
            <w:r w:rsidRPr="00C36CA1">
              <w:rPr>
                <w:rFonts w:hint="eastAsia"/>
                <w:sz w:val="19"/>
                <w:szCs w:val="19"/>
              </w:rPr>
              <w:t>共同参画の推進</w:t>
            </w:r>
          </w:p>
        </w:tc>
        <w:tc>
          <w:tcPr>
            <w:tcW w:w="2583" w:type="pct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市の施策・方針決定</w:t>
            </w:r>
            <w:r>
              <w:rPr>
                <w:rFonts w:hint="eastAsia"/>
                <w:sz w:val="19"/>
                <w:szCs w:val="19"/>
              </w:rPr>
              <w:t>過程</w:t>
            </w:r>
            <w:r w:rsidRPr="00C36CA1">
              <w:rPr>
                <w:rFonts w:hint="eastAsia"/>
                <w:sz w:val="19"/>
                <w:szCs w:val="19"/>
              </w:rPr>
              <w:t>への共同参画の促進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ind w:left="475" w:hangingChars="250" w:hanging="4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あらゆる分野での方針決定過程への共同参画の</w:t>
            </w:r>
            <w:r>
              <w:rPr>
                <w:rFonts w:hint="eastAsia"/>
                <w:sz w:val="19"/>
                <w:szCs w:val="19"/>
              </w:rPr>
              <w:t>促進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２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固定的な性別役割分担意識等による慣行等の解消</w:t>
            </w:r>
          </w:p>
        </w:tc>
        <w:tc>
          <w:tcPr>
            <w:tcW w:w="2583" w:type="pct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F3383C" w:rsidRDefault="00B43FE9" w:rsidP="00B43FE9">
            <w:pPr>
              <w:spacing w:line="300" w:lineRule="exact"/>
              <w:ind w:left="380" w:hangingChars="200" w:hanging="3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F3383C">
              <w:rPr>
                <w:rFonts w:hint="eastAsia"/>
                <w:sz w:val="19"/>
                <w:szCs w:val="19"/>
              </w:rPr>
              <w:t>あらゆる場における男女平等・共同参画の視点・気運の醸成や配慮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多様な選択を可能にする教育、学習等の充実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３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地域活動の場での協働や男女平等・共同参画の推進</w:t>
            </w:r>
          </w:p>
        </w:tc>
        <w:tc>
          <w:tcPr>
            <w:tcW w:w="2583" w:type="pct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市民の参画への支援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参画</w:t>
            </w:r>
            <w:r>
              <w:rPr>
                <w:rFonts w:hint="eastAsia"/>
                <w:sz w:val="19"/>
                <w:szCs w:val="19"/>
              </w:rPr>
              <w:t>とまちづくり</w:t>
            </w:r>
            <w:r w:rsidRPr="00C36CA1">
              <w:rPr>
                <w:rFonts w:hint="eastAsia"/>
                <w:sz w:val="19"/>
                <w:szCs w:val="19"/>
              </w:rPr>
              <w:t>の</w:t>
            </w:r>
            <w:r>
              <w:rPr>
                <w:rFonts w:hint="eastAsia"/>
                <w:sz w:val="19"/>
                <w:szCs w:val="19"/>
              </w:rPr>
              <w:t>総合</w:t>
            </w:r>
            <w:r w:rsidRPr="00C36CA1">
              <w:rPr>
                <w:rFonts w:hint="eastAsia"/>
                <w:sz w:val="19"/>
                <w:szCs w:val="19"/>
              </w:rPr>
              <w:t>的な連携の</w:t>
            </w:r>
            <w:r>
              <w:rPr>
                <w:rFonts w:hint="eastAsia"/>
                <w:sz w:val="19"/>
                <w:szCs w:val="19"/>
              </w:rPr>
              <w:t>推進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(3)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地域防災における男女平等・共同参画の推進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Ⅱ</w:t>
            </w: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仕事と生活の調和が保たれ、男女がともに活躍できる環境づくり</w:t>
            </w:r>
          </w:p>
        </w:tc>
        <w:tc>
          <w:tcPr>
            <w:tcW w:w="167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４</w:t>
            </w:r>
          </w:p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仕事と生活の調和（ワーク・ライフ・バランス）の推進</w:t>
            </w:r>
          </w:p>
        </w:tc>
        <w:tc>
          <w:tcPr>
            <w:tcW w:w="2583" w:type="pct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ワーク・ライフ・バランスの普及・啓発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子育て・介護支援の整備・充実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５</w:t>
            </w:r>
          </w:p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働く場における女性の活躍</w:t>
            </w:r>
            <w:r>
              <w:rPr>
                <w:rFonts w:hint="eastAsia"/>
                <w:sz w:val="19"/>
                <w:szCs w:val="19"/>
              </w:rPr>
              <w:t>支援</w:t>
            </w:r>
          </w:p>
        </w:tc>
        <w:tc>
          <w:tcPr>
            <w:tcW w:w="2583" w:type="pct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新規採用・起業・再就職の支援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女性の能力開発・育成の促進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(3)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雇用の場における男女平等の視点の</w:t>
            </w:r>
            <w:r>
              <w:rPr>
                <w:rFonts w:hint="eastAsia"/>
                <w:sz w:val="19"/>
                <w:szCs w:val="19"/>
              </w:rPr>
              <w:t>促進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６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家庭・地域活動における男女の相互協力の推進</w:t>
            </w:r>
          </w:p>
        </w:tc>
        <w:tc>
          <w:tcPr>
            <w:tcW w:w="2583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男性の家事・育児・介護等への参加促進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Ⅲ</w:t>
            </w: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個人が尊重され、能力が発揮できる環境づくり</w:t>
            </w:r>
          </w:p>
        </w:tc>
        <w:tc>
          <w:tcPr>
            <w:tcW w:w="167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７</w:t>
            </w:r>
          </w:p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あらゆる人に対する人権の尊重</w:t>
            </w:r>
          </w:p>
        </w:tc>
        <w:tc>
          <w:tcPr>
            <w:tcW w:w="2583" w:type="pct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人権尊重を進める教育・学習の</w:t>
            </w:r>
            <w:r>
              <w:rPr>
                <w:rFonts w:hint="eastAsia"/>
                <w:sz w:val="19"/>
                <w:szCs w:val="19"/>
              </w:rPr>
              <w:t>推進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人権擁護体制の推進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(3)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困難な状況にある人に対する支援の整備・充実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８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あらゆる暴力的行為や虐待等の根絶</w:t>
            </w:r>
          </w:p>
        </w:tc>
        <w:tc>
          <w:tcPr>
            <w:tcW w:w="2583" w:type="pct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配偶者等からの暴力の防止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虐待や迷惑行為の防止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９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国際化社会における理解と交流</w:t>
            </w:r>
          </w:p>
        </w:tc>
        <w:tc>
          <w:tcPr>
            <w:tcW w:w="2583" w:type="pct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外国籍市民との共生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国際的な女性問題等への理解と国際交流</w:t>
            </w:r>
            <w:r w:rsidRPr="00C36CA1">
              <w:rPr>
                <w:rFonts w:hint="eastAsia"/>
                <w:sz w:val="19"/>
                <w:szCs w:val="19"/>
              </w:rPr>
              <w:t>の推進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10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男女の生涯を通じた健康支援</w:t>
            </w:r>
          </w:p>
        </w:tc>
        <w:tc>
          <w:tcPr>
            <w:tcW w:w="2583" w:type="pct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健康管理・保持増進のための支援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妊娠・出産等に関する健康支援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Ⅳ</w:t>
            </w: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計画の総合的な推進</w:t>
            </w:r>
          </w:p>
        </w:tc>
        <w:tc>
          <w:tcPr>
            <w:tcW w:w="167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11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プランの</w:t>
            </w:r>
            <w:r>
              <w:rPr>
                <w:rFonts w:hint="eastAsia"/>
                <w:sz w:val="19"/>
                <w:szCs w:val="19"/>
              </w:rPr>
              <w:t>総合的</w:t>
            </w:r>
            <w:r w:rsidRPr="00C36CA1">
              <w:rPr>
                <w:rFonts w:hint="eastAsia"/>
                <w:sz w:val="19"/>
                <w:szCs w:val="19"/>
              </w:rPr>
              <w:t>推進</w:t>
            </w:r>
          </w:p>
        </w:tc>
        <w:tc>
          <w:tcPr>
            <w:tcW w:w="2583" w:type="pct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男女平等・共同参画の理解・促進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rPr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推進体制の充実・強化</w:t>
            </w:r>
          </w:p>
        </w:tc>
      </w:tr>
    </w:tbl>
    <w:p w:rsidR="000B279A" w:rsidRDefault="000B279A" w:rsidP="00323F67"/>
    <w:sectPr w:rsidR="000B279A" w:rsidSect="00681D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1134" w:bottom="1021" w:left="1134" w:header="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F67" w:rsidRDefault="00323F67" w:rsidP="00323F67">
      <w:r>
        <w:separator/>
      </w:r>
    </w:p>
  </w:endnote>
  <w:endnote w:type="continuationSeparator" w:id="0">
    <w:p w:rsidR="00323F67" w:rsidRDefault="00323F67" w:rsidP="00323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50" w:rsidRDefault="00BB21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581499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681D47" w:rsidRPr="00681D47" w:rsidRDefault="00681D47">
        <w:pPr>
          <w:pStyle w:val="a5"/>
          <w:jc w:val="center"/>
          <w:rPr>
            <w:sz w:val="18"/>
            <w:szCs w:val="18"/>
          </w:rPr>
        </w:pPr>
        <w:r w:rsidRPr="00681D47">
          <w:rPr>
            <w:sz w:val="18"/>
            <w:szCs w:val="18"/>
          </w:rPr>
          <w:fldChar w:fldCharType="begin"/>
        </w:r>
        <w:r w:rsidRPr="00681D47">
          <w:rPr>
            <w:sz w:val="18"/>
            <w:szCs w:val="18"/>
          </w:rPr>
          <w:instrText>PAGE   \* MERGEFORMAT</w:instrText>
        </w:r>
        <w:r w:rsidRPr="00681D47">
          <w:rPr>
            <w:sz w:val="18"/>
            <w:szCs w:val="18"/>
          </w:rPr>
          <w:fldChar w:fldCharType="separate"/>
        </w:r>
        <w:r w:rsidR="00BB2150" w:rsidRPr="00BB2150">
          <w:rPr>
            <w:noProof/>
            <w:sz w:val="18"/>
            <w:szCs w:val="18"/>
            <w:lang w:val="ja-JP"/>
          </w:rPr>
          <w:t>1</w:t>
        </w:r>
        <w:r w:rsidRPr="00681D47">
          <w:rPr>
            <w:sz w:val="18"/>
            <w:szCs w:val="18"/>
          </w:rPr>
          <w:fldChar w:fldCharType="end"/>
        </w:r>
      </w:p>
    </w:sdtContent>
  </w:sdt>
  <w:p w:rsidR="00681D47" w:rsidRDefault="00681D4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50" w:rsidRDefault="00BB21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F67" w:rsidRDefault="00323F67" w:rsidP="00323F67">
      <w:r>
        <w:separator/>
      </w:r>
    </w:p>
  </w:footnote>
  <w:footnote w:type="continuationSeparator" w:id="0">
    <w:p w:rsidR="00323F67" w:rsidRDefault="00323F67" w:rsidP="00323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50" w:rsidRDefault="00BB21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50" w:rsidRDefault="00BB2150" w:rsidP="00F07E19">
    <w:pPr>
      <w:pStyle w:val="a3"/>
      <w:tabs>
        <w:tab w:val="clear" w:pos="4252"/>
        <w:tab w:val="clear" w:pos="8504"/>
        <w:tab w:val="left" w:pos="7065"/>
      </w:tabs>
      <w:rPr>
        <w:rFonts w:eastAsia="ＭＳ ゴシック"/>
        <w:bCs/>
      </w:rPr>
    </w:pPr>
  </w:p>
  <w:p w:rsidR="00BB2150" w:rsidRDefault="00BB2150" w:rsidP="00F07E19">
    <w:pPr>
      <w:pStyle w:val="a3"/>
      <w:tabs>
        <w:tab w:val="clear" w:pos="4252"/>
        <w:tab w:val="clear" w:pos="8504"/>
        <w:tab w:val="left" w:pos="7065"/>
      </w:tabs>
      <w:rPr>
        <w:rFonts w:eastAsia="ＭＳ ゴシック"/>
        <w:bCs/>
      </w:rPr>
    </w:pPr>
  </w:p>
  <w:p w:rsidR="00323F67" w:rsidRPr="00BB2150" w:rsidRDefault="00BB2150" w:rsidP="00F07E19">
    <w:pPr>
      <w:pStyle w:val="a3"/>
      <w:tabs>
        <w:tab w:val="clear" w:pos="4252"/>
        <w:tab w:val="clear" w:pos="8504"/>
        <w:tab w:val="left" w:pos="7065"/>
      </w:tabs>
      <w:rPr>
        <w:rFonts w:ascii="ＭＳ ゴシック" w:eastAsia="ＭＳ ゴシック" w:hAnsi="ＭＳ ゴシック"/>
        <w:b/>
        <w:sz w:val="28"/>
        <w:szCs w:val="28"/>
        <w:bdr w:val="single" w:sz="4" w:space="0" w:color="auto"/>
      </w:rPr>
    </w:pPr>
    <w:r w:rsidRPr="00BB2150">
      <w:rPr>
        <w:rFonts w:eastAsia="ＭＳ ゴシック" w:hint="eastAsia"/>
        <w:b/>
        <w:bCs/>
        <w:sz w:val="28"/>
      </w:rPr>
      <w:t>Ⅰ　高岡市男女平等推進プラン（第２次）の取組状況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50" w:rsidRDefault="00BB21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90F1C"/>
    <w:multiLevelType w:val="hybridMultilevel"/>
    <w:tmpl w:val="F9B2EB20"/>
    <w:lvl w:ilvl="0" w:tplc="7DDC039C">
      <w:start w:val="1"/>
      <w:numFmt w:val="decimal"/>
      <w:lvlText w:val="（%1）"/>
      <w:lvlJc w:val="left"/>
      <w:pPr>
        <w:ind w:left="102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1CCB464A"/>
    <w:multiLevelType w:val="hybridMultilevel"/>
    <w:tmpl w:val="DE086DD0"/>
    <w:lvl w:ilvl="0" w:tplc="6A1889CC">
      <w:start w:val="1"/>
      <w:numFmt w:val="decimal"/>
      <w:lvlText w:val="（%1）"/>
      <w:lvlJc w:val="left"/>
      <w:pPr>
        <w:ind w:left="100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42EB7D3F"/>
    <w:multiLevelType w:val="hybridMultilevel"/>
    <w:tmpl w:val="077EB724"/>
    <w:lvl w:ilvl="0" w:tplc="428A2558">
      <w:start w:val="1"/>
      <w:numFmt w:val="decimal"/>
      <w:lvlText w:val="（%1）"/>
      <w:lvlJc w:val="left"/>
      <w:pPr>
        <w:ind w:left="102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466558FC"/>
    <w:multiLevelType w:val="hybridMultilevel"/>
    <w:tmpl w:val="2A5C8030"/>
    <w:lvl w:ilvl="0" w:tplc="61A0BF1C">
      <w:start w:val="1"/>
      <w:numFmt w:val="decimal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5AFF223F"/>
    <w:multiLevelType w:val="hybridMultilevel"/>
    <w:tmpl w:val="542462FC"/>
    <w:lvl w:ilvl="0" w:tplc="52F29AE8">
      <w:start w:val="1"/>
      <w:numFmt w:val="decimal"/>
      <w:lvlText w:val="（%1）"/>
      <w:lvlJc w:val="left"/>
      <w:pPr>
        <w:ind w:left="102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62B04BF7"/>
    <w:multiLevelType w:val="hybridMultilevel"/>
    <w:tmpl w:val="6C2C51C0"/>
    <w:lvl w:ilvl="0" w:tplc="C21AEFB0">
      <w:start w:val="1"/>
      <w:numFmt w:val="decimal"/>
      <w:lvlText w:val="（%1）"/>
      <w:lvlJc w:val="left"/>
      <w:pPr>
        <w:ind w:left="1020" w:hanging="7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5925023"/>
    <w:multiLevelType w:val="hybridMultilevel"/>
    <w:tmpl w:val="D1F08A80"/>
    <w:lvl w:ilvl="0" w:tplc="03D679CA">
      <w:start w:val="1"/>
      <w:numFmt w:val="decimal"/>
      <w:lvlText w:val="（%1）"/>
      <w:lvlJc w:val="left"/>
      <w:pPr>
        <w:ind w:left="100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77F95C20"/>
    <w:multiLevelType w:val="hybridMultilevel"/>
    <w:tmpl w:val="234C925A"/>
    <w:lvl w:ilvl="0" w:tplc="C40EC5CE">
      <w:start w:val="1"/>
      <w:numFmt w:val="decimal"/>
      <w:lvlText w:val="（%1）"/>
      <w:lvlJc w:val="left"/>
      <w:pPr>
        <w:ind w:left="100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4FA"/>
    <w:rsid w:val="00072C68"/>
    <w:rsid w:val="000B279A"/>
    <w:rsid w:val="002A3914"/>
    <w:rsid w:val="002A3AD1"/>
    <w:rsid w:val="002E588D"/>
    <w:rsid w:val="00323F67"/>
    <w:rsid w:val="00334F70"/>
    <w:rsid w:val="00346CDD"/>
    <w:rsid w:val="00407212"/>
    <w:rsid w:val="004431A0"/>
    <w:rsid w:val="004A2606"/>
    <w:rsid w:val="00537CD8"/>
    <w:rsid w:val="0055620E"/>
    <w:rsid w:val="005E7578"/>
    <w:rsid w:val="00681D47"/>
    <w:rsid w:val="006E11F5"/>
    <w:rsid w:val="00804E11"/>
    <w:rsid w:val="008059B1"/>
    <w:rsid w:val="00860433"/>
    <w:rsid w:val="00862D30"/>
    <w:rsid w:val="00935E3A"/>
    <w:rsid w:val="00A3338F"/>
    <w:rsid w:val="00AE6143"/>
    <w:rsid w:val="00B43FE9"/>
    <w:rsid w:val="00BB2150"/>
    <w:rsid w:val="00CC7C42"/>
    <w:rsid w:val="00D954FA"/>
    <w:rsid w:val="00D9640A"/>
    <w:rsid w:val="00EA5AC5"/>
    <w:rsid w:val="00F07E19"/>
    <w:rsid w:val="00F32EF6"/>
    <w:rsid w:val="00FD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747E50"/>
  <w15:chartTrackingRefBased/>
  <w15:docId w15:val="{8D6E4C6E-3152-4AEE-8221-A191347F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F6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F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3F67"/>
  </w:style>
  <w:style w:type="paragraph" w:styleId="a5">
    <w:name w:val="footer"/>
    <w:basedOn w:val="a"/>
    <w:link w:val="a6"/>
    <w:uiPriority w:val="99"/>
    <w:unhideWhenUsed/>
    <w:rsid w:val="00323F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3F67"/>
  </w:style>
  <w:style w:type="table" w:customStyle="1" w:styleId="21">
    <w:name w:val="表 (モノトーン)  21"/>
    <w:basedOn w:val="a1"/>
    <w:uiPriority w:val="61"/>
    <w:rsid w:val="00323F6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323F6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7">
    <w:name w:val="List Paragraph"/>
    <w:basedOn w:val="a"/>
    <w:uiPriority w:val="34"/>
    <w:qFormat/>
    <w:rsid w:val="005E757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35E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5E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12</cp:revision>
  <cp:lastPrinted>2018-02-21T10:53:00Z</cp:lastPrinted>
  <dcterms:created xsi:type="dcterms:W3CDTF">2018-10-01T02:20:00Z</dcterms:created>
  <dcterms:modified xsi:type="dcterms:W3CDTF">2022-07-21T23:51:00Z</dcterms:modified>
</cp:coreProperties>
</file>