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FC" w:rsidRDefault="0060681A" w:rsidP="00FF7968">
      <w:pPr>
        <w:spacing w:beforeLines="850" w:before="3060"/>
        <w:jc w:val="center"/>
        <w:rPr>
          <w:rFonts w:ascii="HG丸ｺﾞｼｯｸM-PRO" w:eastAsia="HG丸ｺﾞｼｯｸM-PRO"/>
          <w:sz w:val="48"/>
          <w:szCs w:val="40"/>
        </w:rPr>
      </w:pPr>
      <w:r>
        <w:rPr>
          <w:rFonts w:ascii="HG丸ｺﾞｼｯｸM-PRO" w:eastAsia="HG丸ｺﾞｼｯｸM-PRO" w:hint="eastAsia"/>
          <w:sz w:val="48"/>
          <w:szCs w:val="40"/>
        </w:rPr>
        <w:t>平成</w:t>
      </w:r>
      <w:r w:rsidR="007C0D06" w:rsidRPr="00B5782D">
        <w:rPr>
          <w:rFonts w:ascii="HG丸ｺﾞｼｯｸM-PRO" w:eastAsia="HG丸ｺﾞｼｯｸM-PRO" w:hint="eastAsia"/>
          <w:sz w:val="48"/>
          <w:szCs w:val="40"/>
        </w:rPr>
        <w:t>２</w:t>
      </w:r>
      <w:r w:rsidR="00FF7968">
        <w:rPr>
          <w:rFonts w:ascii="HG丸ｺﾞｼｯｸM-PRO" w:eastAsia="HG丸ｺﾞｼｯｸM-PRO" w:hint="eastAsia"/>
          <w:sz w:val="48"/>
          <w:szCs w:val="40"/>
        </w:rPr>
        <w:t>5</w:t>
      </w:r>
      <w:r w:rsidRPr="00B5782D">
        <w:rPr>
          <w:rFonts w:ascii="HG丸ｺﾞｼｯｸM-PRO" w:eastAsia="HG丸ｺﾞｼｯｸM-PRO" w:hint="eastAsia"/>
          <w:sz w:val="48"/>
          <w:szCs w:val="40"/>
        </w:rPr>
        <w:t>年</w:t>
      </w:r>
      <w:r>
        <w:rPr>
          <w:rFonts w:ascii="HG丸ｺﾞｼｯｸM-PRO" w:eastAsia="HG丸ｺﾞｼｯｸM-PRO" w:hint="eastAsia"/>
          <w:sz w:val="48"/>
          <w:szCs w:val="40"/>
        </w:rPr>
        <w:t xml:space="preserve">度　</w:t>
      </w:r>
      <w:r w:rsidR="009131BF">
        <w:rPr>
          <w:rFonts w:ascii="HG丸ｺﾞｼｯｸM-PRO" w:eastAsia="HG丸ｺﾞｼｯｸM-PRO" w:hint="eastAsia"/>
          <w:sz w:val="48"/>
          <w:szCs w:val="40"/>
        </w:rPr>
        <w:t>高岡市財務書類</w:t>
      </w: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eastAsia="ＭＳ ゴシック"/>
          <w:sz w:val="24"/>
        </w:rPr>
      </w:pPr>
    </w:p>
    <w:p w:rsidR="003D03FC" w:rsidRDefault="003D03FC">
      <w:pPr>
        <w:jc w:val="center"/>
        <w:rPr>
          <w:rFonts w:ascii="ＭＳ ゴシック" w:eastAsia="HG丸ｺﾞｼｯｸM-PRO" w:hAnsi="ＭＳ ゴシック"/>
          <w:sz w:val="36"/>
        </w:rPr>
      </w:pPr>
      <w:r>
        <w:rPr>
          <w:rFonts w:ascii="ＭＳ ゴシック" w:eastAsia="HG丸ｺﾞｼｯｸM-PRO" w:hAnsi="ＭＳ ゴシック" w:hint="eastAsia"/>
          <w:sz w:val="36"/>
        </w:rPr>
        <w:t>平</w:t>
      </w:r>
      <w:r w:rsidRPr="00B5782D">
        <w:rPr>
          <w:rFonts w:ascii="ＭＳ ゴシック" w:eastAsia="HG丸ｺﾞｼｯｸM-PRO" w:hAnsi="ＭＳ ゴシック" w:hint="eastAsia"/>
          <w:sz w:val="36"/>
        </w:rPr>
        <w:t>成</w:t>
      </w:r>
      <w:r w:rsidR="007C0D06" w:rsidRPr="00B5782D">
        <w:rPr>
          <w:rFonts w:ascii="ＭＳ ゴシック" w:eastAsia="HG丸ｺﾞｼｯｸM-PRO" w:hAnsi="ＭＳ ゴシック" w:hint="eastAsia"/>
          <w:sz w:val="36"/>
        </w:rPr>
        <w:t>２</w:t>
      </w:r>
      <w:r w:rsidR="00FF7968">
        <w:rPr>
          <w:rFonts w:ascii="ＭＳ ゴシック" w:eastAsia="HG丸ｺﾞｼｯｸM-PRO" w:hAnsi="ＭＳ ゴシック" w:hint="eastAsia"/>
          <w:sz w:val="36"/>
        </w:rPr>
        <w:t>６</w:t>
      </w:r>
      <w:r w:rsidRPr="00B5782D">
        <w:rPr>
          <w:rFonts w:ascii="ＭＳ ゴシック" w:eastAsia="HG丸ｺﾞｼｯｸM-PRO" w:hAnsi="ＭＳ ゴシック" w:hint="eastAsia"/>
          <w:sz w:val="36"/>
        </w:rPr>
        <w:t>年</w:t>
      </w:r>
      <w:r w:rsidR="009131BF" w:rsidRPr="00B5782D">
        <w:rPr>
          <w:rFonts w:ascii="ＭＳ ゴシック" w:eastAsia="HG丸ｺﾞｼｯｸM-PRO" w:hAnsi="ＭＳ ゴシック" w:hint="eastAsia"/>
          <w:sz w:val="36"/>
        </w:rPr>
        <w:t>１２</w:t>
      </w:r>
      <w:r w:rsidRPr="00B5782D">
        <w:rPr>
          <w:rFonts w:ascii="ＭＳ ゴシック" w:eastAsia="HG丸ｺﾞｼｯｸM-PRO" w:hAnsi="ＭＳ ゴシック" w:hint="eastAsia"/>
          <w:sz w:val="36"/>
        </w:rPr>
        <w:t>月</w:t>
      </w:r>
    </w:p>
    <w:p w:rsidR="003D03FC" w:rsidRDefault="009131BF" w:rsidP="00983E13">
      <w:pPr>
        <w:spacing w:beforeLines="250" w:before="900"/>
        <w:jc w:val="center"/>
        <w:rPr>
          <w:rFonts w:eastAsia="HG丸ｺﾞｼｯｸM-PRO" w:hint="eastAsia"/>
          <w:sz w:val="44"/>
          <w:szCs w:val="36"/>
        </w:rPr>
      </w:pPr>
      <w:r>
        <w:rPr>
          <w:rFonts w:eastAsia="HG丸ｺﾞｼｯｸM-PRO" w:hint="eastAsia"/>
          <w:sz w:val="44"/>
          <w:szCs w:val="36"/>
        </w:rPr>
        <w:t>高岡市</w:t>
      </w:r>
      <w:r>
        <w:rPr>
          <w:rFonts w:eastAsia="HG丸ｺﾞｼｯｸM-PRO" w:hint="eastAsia"/>
          <w:sz w:val="44"/>
          <w:szCs w:val="36"/>
        </w:rPr>
        <w:t xml:space="preserve"> </w:t>
      </w:r>
      <w:r>
        <w:rPr>
          <w:rFonts w:eastAsia="HG丸ｺﾞｼｯｸM-PRO" w:hint="eastAsia"/>
          <w:sz w:val="44"/>
          <w:szCs w:val="36"/>
        </w:rPr>
        <w:t>経営企画部</w:t>
      </w:r>
      <w:r w:rsidR="003D03FC">
        <w:rPr>
          <w:rFonts w:eastAsia="HG丸ｺﾞｼｯｸM-PRO" w:hint="eastAsia"/>
          <w:sz w:val="44"/>
          <w:szCs w:val="36"/>
        </w:rPr>
        <w:t xml:space="preserve"> </w:t>
      </w:r>
      <w:r>
        <w:rPr>
          <w:rFonts w:eastAsia="HG丸ｺﾞｼｯｸM-PRO" w:hint="eastAsia"/>
          <w:sz w:val="44"/>
          <w:szCs w:val="36"/>
        </w:rPr>
        <w:t>財政課</w:t>
      </w:r>
    </w:p>
    <w:p w:rsidR="005F4536" w:rsidRPr="003E140D" w:rsidRDefault="005F4536" w:rsidP="005F4536">
      <w:pPr>
        <w:rPr>
          <w:rFonts w:eastAsia="ＭＳ ゴシック"/>
          <w:sz w:val="32"/>
          <w:u w:val="double"/>
        </w:rPr>
      </w:pPr>
      <w:r>
        <w:rPr>
          <w:rFonts w:eastAsia="HG丸ｺﾞｼｯｸM-PRO"/>
          <w:sz w:val="44"/>
          <w:szCs w:val="36"/>
        </w:rPr>
        <w:br w:type="page"/>
      </w:r>
      <w:r w:rsidRPr="003E140D">
        <w:rPr>
          <w:rFonts w:eastAsia="ＭＳ ゴシック" w:hint="eastAsia"/>
          <w:sz w:val="32"/>
          <w:u w:val="double"/>
        </w:rPr>
        <w:lastRenderedPageBreak/>
        <w:t xml:space="preserve">Ⅰ　財務書類とは　　　　　　　</w:t>
      </w:r>
      <w:bookmarkStart w:id="0" w:name="_GoBack"/>
      <w:bookmarkEnd w:id="0"/>
      <w:r w:rsidRPr="003E140D">
        <w:rPr>
          <w:rFonts w:eastAsia="ＭＳ ゴシック" w:hint="eastAsia"/>
          <w:sz w:val="32"/>
          <w:u w:val="double"/>
        </w:rPr>
        <w:t xml:space="preserve">　</w:t>
      </w:r>
      <w:r w:rsidRPr="003E140D">
        <w:rPr>
          <w:rFonts w:eastAsia="ＭＳ ゴシック" w:hint="eastAsia"/>
          <w:sz w:val="32"/>
          <w:u w:val="double"/>
        </w:rPr>
        <w:tab/>
      </w:r>
      <w:r w:rsidRPr="003E140D">
        <w:rPr>
          <w:rFonts w:eastAsia="ＭＳ ゴシック" w:hint="eastAsia"/>
          <w:sz w:val="32"/>
          <w:u w:val="double"/>
        </w:rPr>
        <w:t xml:space="preserve">　　　　　</w:t>
      </w:r>
      <w:r w:rsidRPr="003E140D">
        <w:rPr>
          <w:rFonts w:eastAsia="ＭＳ ゴシック" w:hint="eastAsia"/>
          <w:sz w:val="32"/>
          <w:u w:val="double"/>
        </w:rPr>
        <w:tab/>
      </w:r>
      <w:r w:rsidRPr="003E140D">
        <w:rPr>
          <w:rFonts w:eastAsia="ＭＳ ゴシック" w:hint="eastAsia"/>
          <w:sz w:val="32"/>
          <w:u w:val="double"/>
        </w:rPr>
        <w:t xml:space="preserve">　　　　　　　　</w:t>
      </w:r>
    </w:p>
    <w:p w:rsidR="005F4536" w:rsidRPr="003E140D" w:rsidRDefault="005F4536" w:rsidP="005F4536">
      <w:pPr>
        <w:pStyle w:val="Default"/>
        <w:rPr>
          <w:color w:val="auto"/>
        </w:rPr>
      </w:pPr>
    </w:p>
    <w:p w:rsidR="005F4536" w:rsidRPr="003E140D" w:rsidRDefault="005F4536" w:rsidP="005F4536">
      <w:pPr>
        <w:pStyle w:val="Default"/>
        <w:ind w:firstLineChars="100" w:firstLine="220"/>
        <w:rPr>
          <w:color w:val="auto"/>
          <w:sz w:val="22"/>
          <w:szCs w:val="22"/>
        </w:rPr>
      </w:pPr>
      <w:r w:rsidRPr="003E140D">
        <w:rPr>
          <w:rFonts w:hint="eastAsia"/>
          <w:color w:val="auto"/>
          <w:sz w:val="22"/>
          <w:szCs w:val="22"/>
        </w:rPr>
        <w:t>財務書類は、市の財政状況を、企業会計的な手法により、資産や負債といったストックをはじめ、行政コスト、キャッシュ・フローなどの情報を表したもので、「貸借対照表（バランスシート）」、「行政コスト計算書」、「純資産変動計算書」及び「資金収支計算書（キャッシュフロー計算書）」の４表から構成されます。</w:t>
      </w:r>
      <w:r w:rsidRPr="003E140D">
        <w:rPr>
          <w:color w:val="auto"/>
          <w:sz w:val="22"/>
          <w:szCs w:val="22"/>
        </w:rPr>
        <w:t xml:space="preserve"> </w:t>
      </w:r>
    </w:p>
    <w:p w:rsidR="005F4536" w:rsidRPr="003E140D" w:rsidRDefault="005F4536" w:rsidP="005F4536">
      <w:pPr>
        <w:ind w:firstLineChars="100" w:firstLine="220"/>
        <w:rPr>
          <w:rFonts w:ascii="ＭＳ ゴシック" w:eastAsia="ＭＳ ゴシック" w:hAnsi="ＭＳ ゴシック"/>
          <w:sz w:val="22"/>
          <w:szCs w:val="22"/>
        </w:rPr>
      </w:pPr>
      <w:r w:rsidRPr="003E140D">
        <w:rPr>
          <w:rFonts w:ascii="ＭＳ ゴシック" w:eastAsia="ＭＳ ゴシック" w:hAnsi="ＭＳ ゴシック" w:hint="eastAsia"/>
          <w:sz w:val="22"/>
          <w:szCs w:val="22"/>
        </w:rPr>
        <w:t>平成</w:t>
      </w:r>
      <w:r>
        <w:rPr>
          <w:rFonts w:ascii="ＭＳ ゴシック" w:eastAsia="ＭＳ ゴシック" w:hAnsi="ＭＳ ゴシック" w:hint="eastAsia"/>
          <w:sz w:val="22"/>
          <w:szCs w:val="22"/>
        </w:rPr>
        <w:t>25</w:t>
      </w:r>
      <w:r w:rsidRPr="003E140D">
        <w:rPr>
          <w:rFonts w:ascii="ＭＳ ゴシック" w:eastAsia="ＭＳ ゴシック" w:hAnsi="ＭＳ ゴシック" w:hint="eastAsia"/>
          <w:sz w:val="22"/>
          <w:szCs w:val="22"/>
        </w:rPr>
        <w:t>年度の決算に基づき、普通会計（一般会計等）の財務書類のほか、公営事業会計を含めた市全体の連結財務書類を作成しましたので、その概要についてお知らせします。</w:t>
      </w:r>
    </w:p>
    <w:p w:rsidR="005F4536" w:rsidRPr="003E140D" w:rsidRDefault="005F4536" w:rsidP="005F4536">
      <w:pPr>
        <w:rPr>
          <w:rFonts w:eastAsia="ＭＳ ゴシック"/>
          <w:sz w:val="24"/>
        </w:rPr>
      </w:pPr>
    </w:p>
    <w:p w:rsidR="005F4536" w:rsidRPr="003E140D" w:rsidRDefault="005F4536" w:rsidP="005F4536">
      <w:pPr>
        <w:rPr>
          <w:rFonts w:eastAsia="ＭＳ ゴシック"/>
          <w:sz w:val="24"/>
        </w:rPr>
      </w:pPr>
    </w:p>
    <w:p w:rsidR="005F4536" w:rsidRPr="003E140D" w:rsidRDefault="005F4536" w:rsidP="005F4536">
      <w:pPr>
        <w:rPr>
          <w:rFonts w:ascii="ＭＳ ゴシック" w:eastAsia="ＭＳ ゴシック" w:hAnsi="ＭＳ ゴシック"/>
          <w:sz w:val="22"/>
          <w:szCs w:val="22"/>
        </w:rPr>
      </w:pPr>
      <w:r w:rsidRPr="003E140D">
        <w:rPr>
          <w:rFonts w:ascii="ＭＳ ゴシック" w:eastAsia="ＭＳ ゴシック" w:hAnsi="ＭＳ ゴシック" w:hint="eastAsia"/>
          <w:sz w:val="22"/>
          <w:szCs w:val="22"/>
        </w:rPr>
        <w:t>(１)作成方法</w:t>
      </w:r>
      <w:r w:rsidRPr="003E140D">
        <w:rPr>
          <w:rFonts w:ascii="ＭＳ ゴシック" w:eastAsia="ＭＳ ゴシック" w:hAnsi="ＭＳ ゴシック" w:hint="eastAsia"/>
          <w:sz w:val="22"/>
          <w:szCs w:val="22"/>
        </w:rPr>
        <w:tab/>
      </w:r>
      <w:r w:rsidRPr="003E140D">
        <w:rPr>
          <w:rFonts w:ascii="ＭＳ ゴシック" w:eastAsia="ＭＳ ゴシック" w:hAnsi="ＭＳ ゴシック" w:hint="eastAsia"/>
          <w:sz w:val="22"/>
          <w:szCs w:val="22"/>
        </w:rPr>
        <w:tab/>
        <w:t>総務省方式改訂モデル</w:t>
      </w:r>
    </w:p>
    <w:p w:rsidR="005F4536" w:rsidRPr="003E140D" w:rsidRDefault="005F4536" w:rsidP="005F4536">
      <w:pPr>
        <w:rPr>
          <w:rFonts w:ascii="ＭＳ ゴシック" w:eastAsia="ＭＳ ゴシック" w:hAnsi="ＭＳ ゴシック"/>
          <w:sz w:val="22"/>
          <w:szCs w:val="22"/>
        </w:rPr>
      </w:pPr>
    </w:p>
    <w:p w:rsidR="005F4536" w:rsidRPr="003E140D" w:rsidRDefault="005F4536" w:rsidP="005F4536">
      <w:pPr>
        <w:rPr>
          <w:rFonts w:ascii="ＭＳ ゴシック" w:eastAsia="ＭＳ ゴシック" w:hAnsi="ＭＳ ゴシック"/>
          <w:sz w:val="22"/>
          <w:szCs w:val="22"/>
        </w:rPr>
      </w:pPr>
      <w:r w:rsidRPr="003E140D">
        <w:rPr>
          <w:rFonts w:ascii="ＭＳ ゴシック" w:eastAsia="ＭＳ ゴシック" w:hAnsi="ＭＳ ゴシック" w:hint="eastAsia"/>
          <w:sz w:val="22"/>
          <w:szCs w:val="22"/>
        </w:rPr>
        <w:t>(２)対象年度</w:t>
      </w:r>
      <w:r w:rsidRPr="003E140D">
        <w:rPr>
          <w:rFonts w:ascii="ＭＳ ゴシック" w:eastAsia="ＭＳ ゴシック" w:hAnsi="ＭＳ ゴシック" w:hint="eastAsia"/>
          <w:sz w:val="22"/>
          <w:szCs w:val="22"/>
        </w:rPr>
        <w:tab/>
      </w:r>
      <w:r w:rsidRPr="003E140D">
        <w:rPr>
          <w:rFonts w:ascii="ＭＳ ゴシック" w:eastAsia="ＭＳ ゴシック" w:hAnsi="ＭＳ ゴシック" w:hint="eastAsia"/>
          <w:sz w:val="22"/>
          <w:szCs w:val="22"/>
        </w:rPr>
        <w:tab/>
        <w:t>平成</w:t>
      </w:r>
      <w:r>
        <w:rPr>
          <w:rFonts w:ascii="ＭＳ ゴシック" w:eastAsia="ＭＳ ゴシック" w:hAnsi="ＭＳ ゴシック" w:hint="eastAsia"/>
          <w:sz w:val="22"/>
          <w:szCs w:val="22"/>
        </w:rPr>
        <w:t>25</w:t>
      </w:r>
      <w:r w:rsidRPr="003E140D">
        <w:rPr>
          <w:rFonts w:ascii="ＭＳ ゴシック" w:eastAsia="ＭＳ ゴシック" w:hAnsi="ＭＳ ゴシック" w:hint="eastAsia"/>
          <w:sz w:val="22"/>
          <w:szCs w:val="22"/>
        </w:rPr>
        <w:t>年度（作成基準日：平成2</w:t>
      </w:r>
      <w:r>
        <w:rPr>
          <w:rFonts w:ascii="ＭＳ ゴシック" w:eastAsia="ＭＳ ゴシック" w:hAnsi="ＭＳ ゴシック" w:hint="eastAsia"/>
          <w:sz w:val="22"/>
          <w:szCs w:val="22"/>
        </w:rPr>
        <w:t>6</w:t>
      </w:r>
      <w:r w:rsidRPr="003E140D">
        <w:rPr>
          <w:rFonts w:ascii="ＭＳ ゴシック" w:eastAsia="ＭＳ ゴシック" w:hAnsi="ＭＳ ゴシック" w:hint="eastAsia"/>
          <w:sz w:val="22"/>
          <w:szCs w:val="22"/>
        </w:rPr>
        <w:t>年3月31日）</w:t>
      </w:r>
    </w:p>
    <w:p w:rsidR="005F4536" w:rsidRPr="003E140D" w:rsidRDefault="005F4536" w:rsidP="005F4536">
      <w:pPr>
        <w:rPr>
          <w:rFonts w:ascii="ＭＳ ゴシック" w:eastAsia="ＭＳ ゴシック" w:hAnsi="ＭＳ ゴシック"/>
          <w:sz w:val="22"/>
          <w:szCs w:val="22"/>
        </w:rPr>
      </w:pPr>
      <w:r w:rsidRPr="003E140D">
        <w:rPr>
          <w:rFonts w:ascii="ＭＳ ゴシック" w:eastAsia="ＭＳ ゴシック" w:hAnsi="ＭＳ ゴシック" w:hint="eastAsia"/>
          <w:sz w:val="22"/>
          <w:szCs w:val="22"/>
        </w:rPr>
        <w:t xml:space="preserve">　　　　　　　　　　　　※貸借対照表は平成2</w:t>
      </w:r>
      <w:r>
        <w:rPr>
          <w:rFonts w:ascii="ＭＳ ゴシック" w:eastAsia="ＭＳ ゴシック" w:hAnsi="ＭＳ ゴシック" w:hint="eastAsia"/>
          <w:sz w:val="22"/>
          <w:szCs w:val="22"/>
        </w:rPr>
        <w:t>5</w:t>
      </w:r>
      <w:r w:rsidRPr="003E140D">
        <w:rPr>
          <w:rFonts w:ascii="ＭＳ ゴシック" w:eastAsia="ＭＳ ゴシック" w:hAnsi="ＭＳ ゴシック" w:hint="eastAsia"/>
          <w:sz w:val="22"/>
          <w:szCs w:val="22"/>
        </w:rPr>
        <w:t>年度末で作成。行政コスト計算書・純資産</w:t>
      </w:r>
    </w:p>
    <w:p w:rsidR="005F4536" w:rsidRPr="003E140D" w:rsidRDefault="005F4536" w:rsidP="005F4536">
      <w:pPr>
        <w:ind w:firstLineChars="1300" w:firstLine="2860"/>
        <w:rPr>
          <w:rFonts w:ascii="ＭＳ ゴシック" w:eastAsia="ＭＳ ゴシック" w:hAnsi="ＭＳ ゴシック"/>
          <w:sz w:val="22"/>
          <w:szCs w:val="22"/>
        </w:rPr>
      </w:pPr>
      <w:r w:rsidRPr="003E140D">
        <w:rPr>
          <w:rFonts w:ascii="ＭＳ ゴシック" w:eastAsia="ＭＳ ゴシック" w:hAnsi="ＭＳ ゴシック" w:hint="eastAsia"/>
          <w:sz w:val="22"/>
          <w:szCs w:val="22"/>
        </w:rPr>
        <w:t>変動計算書・資金収支計算書は平成2</w:t>
      </w:r>
      <w:r>
        <w:rPr>
          <w:rFonts w:ascii="ＭＳ ゴシック" w:eastAsia="ＭＳ ゴシック" w:hAnsi="ＭＳ ゴシック" w:hint="eastAsia"/>
          <w:sz w:val="22"/>
          <w:szCs w:val="22"/>
        </w:rPr>
        <w:t>5</w:t>
      </w:r>
      <w:r w:rsidRPr="003E140D">
        <w:rPr>
          <w:rFonts w:ascii="ＭＳ ゴシック" w:eastAsia="ＭＳ ゴシック" w:hAnsi="ＭＳ ゴシック" w:hint="eastAsia"/>
          <w:sz w:val="22"/>
          <w:szCs w:val="22"/>
        </w:rPr>
        <w:t>年4月1日～平成</w:t>
      </w:r>
      <w:r>
        <w:rPr>
          <w:rFonts w:ascii="ＭＳ ゴシック" w:eastAsia="ＭＳ ゴシック" w:hAnsi="ＭＳ ゴシック" w:hint="eastAsia"/>
          <w:sz w:val="22"/>
          <w:szCs w:val="22"/>
        </w:rPr>
        <w:t>26</w:t>
      </w:r>
      <w:r w:rsidRPr="003E140D">
        <w:rPr>
          <w:rFonts w:ascii="ＭＳ ゴシック" w:eastAsia="ＭＳ ゴシック" w:hAnsi="ＭＳ ゴシック" w:hint="eastAsia"/>
          <w:sz w:val="22"/>
          <w:szCs w:val="22"/>
        </w:rPr>
        <w:t>年</w:t>
      </w:r>
    </w:p>
    <w:p w:rsidR="005F4536" w:rsidRPr="003E140D" w:rsidRDefault="005F4536" w:rsidP="005F4536">
      <w:pPr>
        <w:ind w:firstLineChars="1300" w:firstLine="2860"/>
        <w:rPr>
          <w:rFonts w:ascii="ＭＳ ゴシック" w:eastAsia="ＭＳ ゴシック" w:hAnsi="ＭＳ ゴシック"/>
          <w:sz w:val="22"/>
          <w:szCs w:val="22"/>
        </w:rPr>
      </w:pPr>
      <w:r w:rsidRPr="003E140D">
        <w:rPr>
          <w:rFonts w:ascii="ＭＳ ゴシック" w:eastAsia="ＭＳ ゴシック" w:hAnsi="ＭＳ ゴシック" w:hint="eastAsia"/>
          <w:sz w:val="22"/>
          <w:szCs w:val="22"/>
        </w:rPr>
        <w:t>3月31日で作成。</w:t>
      </w:r>
    </w:p>
    <w:p w:rsidR="005F4536" w:rsidRPr="003E140D" w:rsidRDefault="005F4536" w:rsidP="005F4536">
      <w:pPr>
        <w:rPr>
          <w:rFonts w:ascii="ＭＳ ゴシック" w:eastAsia="ＭＳ ゴシック" w:hAnsi="ＭＳ ゴシック"/>
          <w:sz w:val="24"/>
        </w:rPr>
      </w:pPr>
    </w:p>
    <w:p w:rsidR="005F4536" w:rsidRPr="003E140D" w:rsidRDefault="005F4536" w:rsidP="005F4536">
      <w:pPr>
        <w:rPr>
          <w:rFonts w:ascii="ＭＳ ゴシック" w:eastAsia="ＭＳ ゴシック" w:hAnsi="ＭＳ ゴシック"/>
          <w:sz w:val="22"/>
          <w:szCs w:val="22"/>
        </w:rPr>
      </w:pPr>
      <w:r w:rsidRPr="003E140D">
        <w:rPr>
          <w:rFonts w:ascii="ＭＳ ゴシック" w:eastAsia="ＭＳ ゴシック" w:hAnsi="ＭＳ ゴシック" w:hint="eastAsia"/>
          <w:sz w:val="22"/>
          <w:szCs w:val="22"/>
        </w:rPr>
        <w:t>(３)対象会計</w:t>
      </w:r>
      <w:r w:rsidRPr="003E140D">
        <w:rPr>
          <w:rFonts w:ascii="ＭＳ ゴシック" w:eastAsia="ＭＳ ゴシック" w:hAnsi="ＭＳ ゴシック" w:hint="eastAsia"/>
          <w:sz w:val="22"/>
          <w:szCs w:val="22"/>
        </w:rPr>
        <w:tab/>
      </w:r>
      <w:r w:rsidRPr="003E140D">
        <w:rPr>
          <w:rFonts w:ascii="ＭＳ ゴシック" w:eastAsia="ＭＳ ゴシック" w:hAnsi="ＭＳ ゴシック" w:hint="eastAsia"/>
          <w:sz w:val="22"/>
          <w:szCs w:val="22"/>
        </w:rPr>
        <w:tab/>
        <w:t>・普通会計</w:t>
      </w:r>
    </w:p>
    <w:p w:rsidR="005F4536" w:rsidRPr="003E140D" w:rsidRDefault="005F4536" w:rsidP="005F4536">
      <w:pPr>
        <w:rPr>
          <w:rFonts w:ascii="ＭＳ ゴシック" w:eastAsia="ＭＳ ゴシック" w:hAnsi="ＭＳ ゴシック"/>
          <w:sz w:val="22"/>
          <w:szCs w:val="22"/>
        </w:rPr>
      </w:pPr>
      <w:r w:rsidRPr="003E140D">
        <w:rPr>
          <w:rFonts w:ascii="ＭＳ ゴシック" w:eastAsia="ＭＳ ゴシック" w:hAnsi="ＭＳ ゴシック" w:hint="eastAsia"/>
          <w:sz w:val="22"/>
          <w:szCs w:val="22"/>
        </w:rPr>
        <w:tab/>
      </w:r>
      <w:r w:rsidRPr="003E140D">
        <w:rPr>
          <w:rFonts w:ascii="ＭＳ ゴシック" w:eastAsia="ＭＳ ゴシック" w:hAnsi="ＭＳ ゴシック" w:hint="eastAsia"/>
          <w:sz w:val="22"/>
          <w:szCs w:val="22"/>
        </w:rPr>
        <w:tab/>
      </w:r>
      <w:r w:rsidRPr="003E140D">
        <w:rPr>
          <w:rFonts w:ascii="ＭＳ ゴシック" w:eastAsia="ＭＳ ゴシック" w:hAnsi="ＭＳ ゴシック" w:hint="eastAsia"/>
          <w:sz w:val="22"/>
          <w:szCs w:val="22"/>
        </w:rPr>
        <w:tab/>
        <w:t>・公営事業会計（11会計）</w:t>
      </w:r>
    </w:p>
    <w:p w:rsidR="005F4536" w:rsidRPr="003E140D" w:rsidRDefault="005F4536" w:rsidP="005F4536">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1698625</wp:posOffset>
                </wp:positionH>
                <wp:positionV relativeFrom="paragraph">
                  <wp:posOffset>3810</wp:posOffset>
                </wp:positionV>
                <wp:extent cx="4274185" cy="1137285"/>
                <wp:effectExtent l="9525" t="8890" r="12065" b="63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4185" cy="1137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3.75pt;margin-top:.3pt;width:336.5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"/>
            </w:pict>
          </mc:Fallback>
        </mc:AlternateContent>
      </w:r>
      <w:r w:rsidRPr="003E140D">
        <w:rPr>
          <w:rFonts w:ascii="ＭＳ ゴシック" w:eastAsia="ＭＳ ゴシック" w:hAnsi="ＭＳ ゴシック" w:hint="eastAsia"/>
          <w:sz w:val="22"/>
          <w:szCs w:val="22"/>
        </w:rPr>
        <w:tab/>
      </w:r>
      <w:r w:rsidRPr="003E140D">
        <w:rPr>
          <w:rFonts w:ascii="ＭＳ ゴシック" w:eastAsia="ＭＳ ゴシック" w:hAnsi="ＭＳ ゴシック" w:hint="eastAsia"/>
          <w:sz w:val="22"/>
          <w:szCs w:val="22"/>
        </w:rPr>
        <w:tab/>
      </w:r>
      <w:r w:rsidRPr="003E140D">
        <w:rPr>
          <w:rFonts w:ascii="ＭＳ ゴシック" w:eastAsia="ＭＳ ゴシック" w:hAnsi="ＭＳ ゴシック" w:hint="eastAsia"/>
          <w:sz w:val="22"/>
          <w:szCs w:val="22"/>
        </w:rPr>
        <w:tab/>
        <w:t xml:space="preserve">　　市民病院事業会計、水道事業会計、工業用水道事業会計、</w:t>
      </w:r>
    </w:p>
    <w:p w:rsidR="005F4536" w:rsidRPr="003E140D" w:rsidRDefault="005F4536" w:rsidP="005F4536">
      <w:pPr>
        <w:rPr>
          <w:rFonts w:ascii="ＭＳ ゴシック" w:eastAsia="ＭＳ ゴシック" w:hAnsi="ＭＳ ゴシック"/>
          <w:sz w:val="22"/>
          <w:szCs w:val="22"/>
        </w:rPr>
      </w:pPr>
      <w:r w:rsidRPr="003E140D">
        <w:rPr>
          <w:rFonts w:ascii="ＭＳ ゴシック" w:eastAsia="ＭＳ ゴシック" w:hAnsi="ＭＳ ゴシック" w:hint="eastAsia"/>
          <w:sz w:val="22"/>
          <w:szCs w:val="22"/>
        </w:rPr>
        <w:tab/>
      </w:r>
      <w:r w:rsidRPr="003E140D">
        <w:rPr>
          <w:rFonts w:ascii="ＭＳ ゴシック" w:eastAsia="ＭＳ ゴシック" w:hAnsi="ＭＳ ゴシック" w:hint="eastAsia"/>
          <w:sz w:val="22"/>
          <w:szCs w:val="22"/>
        </w:rPr>
        <w:tab/>
      </w:r>
      <w:r w:rsidRPr="003E140D">
        <w:rPr>
          <w:rFonts w:ascii="ＭＳ ゴシック" w:eastAsia="ＭＳ ゴシック" w:hAnsi="ＭＳ ゴシック" w:hint="eastAsia"/>
          <w:sz w:val="22"/>
          <w:szCs w:val="22"/>
        </w:rPr>
        <w:tab/>
        <w:t xml:space="preserve">　　簡易水道事業会計、下水道事業会計、駐車場事業会計、</w:t>
      </w:r>
    </w:p>
    <w:p w:rsidR="005F4536" w:rsidRPr="003E140D" w:rsidRDefault="005F4536" w:rsidP="005F4536">
      <w:pPr>
        <w:rPr>
          <w:rFonts w:ascii="ＭＳ ゴシック" w:eastAsia="ＭＳ ゴシック" w:hAnsi="ＭＳ ゴシック"/>
          <w:sz w:val="22"/>
          <w:szCs w:val="22"/>
        </w:rPr>
      </w:pPr>
      <w:r w:rsidRPr="003E140D">
        <w:rPr>
          <w:rFonts w:ascii="ＭＳ ゴシック" w:eastAsia="ＭＳ ゴシック" w:hAnsi="ＭＳ ゴシック" w:hint="eastAsia"/>
          <w:sz w:val="22"/>
          <w:szCs w:val="22"/>
        </w:rPr>
        <w:tab/>
      </w:r>
      <w:r w:rsidRPr="003E140D">
        <w:rPr>
          <w:rFonts w:ascii="ＭＳ ゴシック" w:eastAsia="ＭＳ ゴシック" w:hAnsi="ＭＳ ゴシック" w:hint="eastAsia"/>
          <w:sz w:val="22"/>
          <w:szCs w:val="22"/>
        </w:rPr>
        <w:tab/>
      </w:r>
      <w:r w:rsidRPr="003E140D">
        <w:rPr>
          <w:rFonts w:ascii="ＭＳ ゴシック" w:eastAsia="ＭＳ ゴシック" w:hAnsi="ＭＳ ゴシック" w:hint="eastAsia"/>
          <w:sz w:val="22"/>
          <w:szCs w:val="22"/>
        </w:rPr>
        <w:tab/>
        <w:t xml:space="preserve">　　工業団地造成事業会計、農業集落排水事業会計、</w:t>
      </w:r>
    </w:p>
    <w:p w:rsidR="005F4536" w:rsidRPr="003E140D" w:rsidRDefault="005F4536" w:rsidP="005F4536">
      <w:pPr>
        <w:rPr>
          <w:rFonts w:ascii="ＭＳ ゴシック" w:eastAsia="ＭＳ ゴシック" w:hAnsi="ＭＳ ゴシック"/>
          <w:sz w:val="22"/>
          <w:szCs w:val="22"/>
        </w:rPr>
      </w:pPr>
      <w:r w:rsidRPr="003E140D">
        <w:rPr>
          <w:rFonts w:ascii="ＭＳ ゴシック" w:eastAsia="ＭＳ ゴシック" w:hAnsi="ＭＳ ゴシック" w:hint="eastAsia"/>
          <w:i/>
          <w:sz w:val="22"/>
          <w:szCs w:val="22"/>
        </w:rPr>
        <w:tab/>
      </w:r>
      <w:r w:rsidRPr="003E140D">
        <w:rPr>
          <w:rFonts w:ascii="ＭＳ ゴシック" w:eastAsia="ＭＳ ゴシック" w:hAnsi="ＭＳ ゴシック" w:hint="eastAsia"/>
          <w:i/>
          <w:sz w:val="22"/>
          <w:szCs w:val="22"/>
        </w:rPr>
        <w:tab/>
      </w:r>
      <w:r w:rsidRPr="003E140D">
        <w:rPr>
          <w:rFonts w:ascii="ＭＳ ゴシック" w:eastAsia="ＭＳ ゴシック" w:hAnsi="ＭＳ ゴシック" w:hint="eastAsia"/>
          <w:i/>
          <w:sz w:val="22"/>
          <w:szCs w:val="22"/>
        </w:rPr>
        <w:tab/>
        <w:t xml:space="preserve">　　</w:t>
      </w:r>
      <w:r w:rsidRPr="003E140D">
        <w:rPr>
          <w:rFonts w:ascii="ＭＳ ゴシック" w:eastAsia="ＭＳ ゴシック" w:hAnsi="ＭＳ ゴシック" w:hint="eastAsia"/>
          <w:sz w:val="22"/>
          <w:szCs w:val="22"/>
        </w:rPr>
        <w:t>国民健康保険事業会計、介護保険事業会計、</w:t>
      </w:r>
    </w:p>
    <w:p w:rsidR="005F4536" w:rsidRPr="003E140D" w:rsidRDefault="005F4536" w:rsidP="005F4536">
      <w:pPr>
        <w:ind w:left="1680" w:firstLineChars="589" w:firstLine="1296"/>
        <w:rPr>
          <w:rFonts w:ascii="ＭＳ ゴシック" w:eastAsia="ＭＳ ゴシック" w:hAnsi="ＭＳ ゴシック"/>
          <w:i/>
          <w:sz w:val="22"/>
          <w:szCs w:val="22"/>
        </w:rPr>
      </w:pPr>
      <w:r w:rsidRPr="003E140D">
        <w:rPr>
          <w:rFonts w:ascii="ＭＳ ゴシック" w:eastAsia="ＭＳ ゴシック" w:hAnsi="ＭＳ ゴシック" w:hint="eastAsia"/>
          <w:sz w:val="22"/>
          <w:szCs w:val="22"/>
        </w:rPr>
        <w:t>後期高齢者医療事業会計</w:t>
      </w:r>
    </w:p>
    <w:p w:rsidR="005F4536" w:rsidRPr="003E140D" w:rsidRDefault="005F4536" w:rsidP="005F4536">
      <w:pPr>
        <w:rPr>
          <w:rFonts w:ascii="ＭＳ ゴシック" w:eastAsia="ＭＳ ゴシック" w:hAnsi="ＭＳ ゴシック"/>
          <w:sz w:val="22"/>
          <w:szCs w:val="22"/>
        </w:rPr>
      </w:pPr>
    </w:p>
    <w:p w:rsidR="005F4536" w:rsidRPr="003E140D" w:rsidRDefault="005F4536" w:rsidP="005F4536">
      <w:pPr>
        <w:ind w:left="200" w:firstLineChars="1400" w:firstLine="2800"/>
        <w:rPr>
          <w:rFonts w:ascii="ＭＳ ゴシック" w:eastAsia="ＭＳ ゴシック" w:hAnsi="ＭＳ ゴシック"/>
          <w:sz w:val="20"/>
          <w:szCs w:val="20"/>
        </w:rPr>
      </w:pPr>
      <w:r w:rsidRPr="003E140D">
        <w:rPr>
          <w:rFonts w:ascii="ＭＳ ゴシック" w:eastAsia="ＭＳ ゴシック" w:hAnsi="ＭＳ ゴシック" w:hint="eastAsia"/>
          <w:sz w:val="20"/>
          <w:szCs w:val="20"/>
        </w:rPr>
        <w:t>※市全体の連結財務書類では、各会計間の取引（繰出し・繰入れ・</w:t>
      </w:r>
    </w:p>
    <w:p w:rsidR="005F4536" w:rsidRPr="003E140D" w:rsidRDefault="005F4536" w:rsidP="005F4536">
      <w:pPr>
        <w:ind w:left="200" w:firstLineChars="1500" w:firstLine="3000"/>
        <w:rPr>
          <w:rFonts w:ascii="ＭＳ ゴシック" w:eastAsia="ＭＳ ゴシック" w:hAnsi="ＭＳ ゴシック"/>
          <w:sz w:val="20"/>
          <w:szCs w:val="20"/>
        </w:rPr>
      </w:pPr>
      <w:r w:rsidRPr="003E140D">
        <w:rPr>
          <w:rFonts w:ascii="ＭＳ ゴシック" w:eastAsia="ＭＳ ゴシック" w:hAnsi="ＭＳ ゴシック" w:hint="eastAsia"/>
          <w:sz w:val="20"/>
          <w:szCs w:val="20"/>
        </w:rPr>
        <w:t>出資・出資受入れ 等）については、少額のものを除き、相殺消</w:t>
      </w:r>
    </w:p>
    <w:p w:rsidR="005F4536" w:rsidRPr="003E140D" w:rsidRDefault="005F4536" w:rsidP="005F4536">
      <w:pPr>
        <w:ind w:left="200" w:firstLineChars="1500" w:firstLine="3000"/>
        <w:rPr>
          <w:rFonts w:ascii="ＭＳ ゴシック" w:eastAsia="ＭＳ ゴシック" w:hAnsi="ＭＳ ゴシック"/>
          <w:sz w:val="24"/>
        </w:rPr>
      </w:pPr>
      <w:r w:rsidRPr="003E140D">
        <w:rPr>
          <w:rFonts w:ascii="ＭＳ ゴシック" w:eastAsia="ＭＳ ゴシック" w:hAnsi="ＭＳ ゴシック" w:hint="eastAsia"/>
          <w:sz w:val="20"/>
          <w:szCs w:val="20"/>
        </w:rPr>
        <w:t>去を行っています。</w:t>
      </w:r>
    </w:p>
    <w:p w:rsidR="005F4536" w:rsidRPr="003E140D" w:rsidRDefault="005F4536" w:rsidP="005F4536">
      <w:pPr>
        <w:rPr>
          <w:rFonts w:eastAsia="ＭＳ ゴシック"/>
          <w:sz w:val="24"/>
        </w:rPr>
      </w:pPr>
    </w:p>
    <w:p w:rsidR="005F4536" w:rsidRPr="003E140D" w:rsidRDefault="005F4536" w:rsidP="005F4536">
      <w:pPr>
        <w:ind w:left="2400" w:hangingChars="1000" w:hanging="2400"/>
        <w:rPr>
          <w:rFonts w:ascii="ＭＳ 明朝" w:hAnsi="ＭＳ 明朝"/>
          <w:sz w:val="24"/>
        </w:rPr>
      </w:pPr>
    </w:p>
    <w:p w:rsidR="005F4536" w:rsidRPr="003E140D" w:rsidRDefault="005F4536" w:rsidP="005F4536">
      <w:pPr>
        <w:ind w:left="2400" w:hangingChars="1000" w:hanging="2400"/>
        <w:rPr>
          <w:rFonts w:ascii="ＭＳ 明朝" w:hAnsi="ＭＳ 明朝"/>
          <w:sz w:val="24"/>
        </w:rPr>
      </w:pPr>
    </w:p>
    <w:p w:rsidR="005F4536" w:rsidRPr="003E140D" w:rsidRDefault="005F4536" w:rsidP="005F4536">
      <w:pPr>
        <w:rPr>
          <w:rFonts w:eastAsia="ＭＳ ゴシック"/>
          <w:sz w:val="22"/>
        </w:rPr>
      </w:pPr>
    </w:p>
    <w:p w:rsidR="005F4536" w:rsidRPr="003E140D" w:rsidRDefault="005F4536" w:rsidP="005F4536">
      <w:pPr>
        <w:rPr>
          <w:rFonts w:eastAsia="ＭＳ ゴシック"/>
          <w:sz w:val="24"/>
        </w:rPr>
      </w:pPr>
      <w:r w:rsidRPr="003E140D">
        <w:rPr>
          <w:rFonts w:eastAsia="ＭＳ ゴシック"/>
          <w:sz w:val="22"/>
        </w:rPr>
        <w:br w:type="page"/>
      </w:r>
      <w:r w:rsidRPr="003E140D">
        <w:rPr>
          <w:rFonts w:eastAsia="ＭＳ ゴシック" w:hint="eastAsia"/>
          <w:sz w:val="32"/>
          <w:u w:val="double"/>
        </w:rPr>
        <w:lastRenderedPageBreak/>
        <w:t xml:space="preserve">Ⅱ　貸借対照表　　　　　　　　　　　　　　　　　　　　　</w:t>
      </w:r>
    </w:p>
    <w:p w:rsidR="005F4536" w:rsidRPr="003E140D" w:rsidRDefault="005F4536" w:rsidP="005F4536">
      <w:pPr>
        <w:pStyle w:val="Default"/>
        <w:rPr>
          <w:color w:val="auto"/>
        </w:rPr>
      </w:pPr>
    </w:p>
    <w:p w:rsidR="005F4536" w:rsidRPr="003E140D" w:rsidRDefault="005F4536" w:rsidP="005F4536">
      <w:pPr>
        <w:rPr>
          <w:rFonts w:ascii="ＭＳ ゴシック" w:eastAsia="ＭＳ ゴシック" w:hAnsi="ＭＳ ゴシック"/>
          <w:sz w:val="22"/>
          <w:szCs w:val="22"/>
        </w:rPr>
      </w:pPr>
      <w:r w:rsidRPr="003E140D">
        <w:rPr>
          <w:rFonts w:ascii="ＭＳ ゴシック" w:eastAsia="ＭＳ ゴシック" w:hAnsi="ＭＳ ゴシック"/>
          <w:sz w:val="22"/>
          <w:szCs w:val="22"/>
        </w:rPr>
        <w:t xml:space="preserve"> </w:t>
      </w:r>
      <w:r w:rsidRPr="003E140D">
        <w:rPr>
          <w:rFonts w:ascii="ＭＳ ゴシック" w:eastAsia="ＭＳ ゴシック" w:hAnsi="ＭＳ ゴシック" w:hint="eastAsia"/>
          <w:sz w:val="22"/>
          <w:szCs w:val="22"/>
        </w:rPr>
        <w:t>貸借対照表は、これまでの行政活動を通じて形成された建物や土地など</w:t>
      </w:r>
      <w:r w:rsidRPr="00815008">
        <w:rPr>
          <w:rFonts w:ascii="ＭＳ ゴシック" w:eastAsia="ＭＳ ゴシック" w:hAnsi="ＭＳ ゴシック" w:hint="eastAsia"/>
          <w:color w:val="000000" w:themeColor="text1"/>
          <w:sz w:val="22"/>
          <w:szCs w:val="22"/>
        </w:rPr>
        <w:t>、平成25年</w:t>
      </w:r>
      <w:r w:rsidRPr="003E140D">
        <w:rPr>
          <w:rFonts w:ascii="ＭＳ ゴシック" w:eastAsia="ＭＳ ゴシック" w:hAnsi="ＭＳ ゴシック" w:hint="eastAsia"/>
          <w:sz w:val="22"/>
          <w:szCs w:val="22"/>
        </w:rPr>
        <w:t>度末に保有する「資産」と、その資産を形成するために要した将来返済しなければならない「負債」、そして平</w:t>
      </w:r>
      <w:r w:rsidRPr="007C79F4">
        <w:rPr>
          <w:rFonts w:ascii="ＭＳ ゴシック" w:eastAsia="ＭＳ ゴシック" w:hAnsi="ＭＳ ゴシック" w:hint="eastAsia"/>
          <w:sz w:val="22"/>
          <w:szCs w:val="22"/>
        </w:rPr>
        <w:t>成25</w:t>
      </w:r>
      <w:r w:rsidRPr="003E140D">
        <w:rPr>
          <w:rFonts w:ascii="ＭＳ ゴシック" w:eastAsia="ＭＳ ゴシック" w:hAnsi="ＭＳ ゴシック" w:hint="eastAsia"/>
          <w:sz w:val="22"/>
          <w:szCs w:val="22"/>
        </w:rPr>
        <w:t>年度末までに、その資産を形成するために投入された市の負担や国や県の補助金などの「純資産」に関する状況を表しています。</w:t>
      </w:r>
    </w:p>
    <w:p w:rsidR="005F4536" w:rsidRPr="003E140D" w:rsidRDefault="005F4536" w:rsidP="005F4536">
      <w:r>
        <w:rPr>
          <w:rFonts w:hint="eastAsia"/>
        </w:rPr>
        <w:t xml:space="preserve">　　</w:t>
      </w:r>
      <w:r>
        <w:rPr>
          <w:noProof/>
        </w:rPr>
        <w:drawing>
          <wp:inline distT="0" distB="0" distL="0" distR="0">
            <wp:extent cx="5124450" cy="4514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4514850"/>
                    </a:xfrm>
                    <a:prstGeom prst="rect">
                      <a:avLst/>
                    </a:prstGeom>
                    <a:noFill/>
                    <a:ln>
                      <a:noFill/>
                    </a:ln>
                  </pic:spPr>
                </pic:pic>
              </a:graphicData>
            </a:graphic>
          </wp:inline>
        </w:drawing>
      </w:r>
    </w:p>
    <w:p w:rsidR="005F4536" w:rsidRPr="003E140D" w:rsidRDefault="005F4536" w:rsidP="005F4536">
      <w:pPr>
        <w:jc w:val="center"/>
      </w:pPr>
    </w:p>
    <w:p w:rsidR="005F4536" w:rsidRPr="003E140D" w:rsidRDefault="005F4536" w:rsidP="005F4536"/>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237"/>
      </w:tblGrid>
      <w:tr w:rsidR="005F4536" w:rsidRPr="003E140D" w:rsidTr="00E07B87">
        <w:trPr>
          <w:trHeight w:val="393"/>
          <w:jc w:val="center"/>
        </w:trPr>
        <w:tc>
          <w:tcPr>
            <w:tcW w:w="1985" w:type="dxa"/>
            <w:vAlign w:val="center"/>
          </w:tcPr>
          <w:p w:rsidR="005F4536" w:rsidRPr="003E140D" w:rsidRDefault="005F4536" w:rsidP="00E07B87">
            <w:pPr>
              <w:jc w:val="center"/>
              <w:rPr>
                <w:rFonts w:ascii="ＭＳ Ｐゴシック" w:eastAsia="ＭＳ Ｐゴシック" w:hAnsi="ＭＳ Ｐゴシック"/>
                <w:b/>
                <w:szCs w:val="21"/>
              </w:rPr>
            </w:pPr>
            <w:r w:rsidRPr="003E140D">
              <w:rPr>
                <w:rFonts w:ascii="ＭＳ Ｐゴシック" w:eastAsia="ＭＳ Ｐゴシック" w:hAnsi="ＭＳ Ｐゴシック" w:hint="eastAsia"/>
                <w:b/>
                <w:szCs w:val="21"/>
              </w:rPr>
              <w:t>公共資産</w:t>
            </w:r>
          </w:p>
        </w:tc>
        <w:tc>
          <w:tcPr>
            <w:tcW w:w="6237" w:type="dxa"/>
            <w:vAlign w:val="center"/>
          </w:tcPr>
          <w:p w:rsidR="005F4536" w:rsidRPr="003E140D" w:rsidRDefault="005F4536" w:rsidP="00E07B87">
            <w:pPr>
              <w:rPr>
                <w:rFonts w:ascii="ＭＳ Ｐゴシック" w:eastAsia="ＭＳ Ｐゴシック" w:hAnsi="ＭＳ Ｐゴシック"/>
                <w:szCs w:val="21"/>
              </w:rPr>
            </w:pPr>
            <w:r w:rsidRPr="003E140D">
              <w:rPr>
                <w:rFonts w:ascii="ＭＳ ゴシック" w:eastAsia="ＭＳ ゴシック" w:hAnsi="ＭＳ ゴシック" w:hint="eastAsia"/>
                <w:szCs w:val="21"/>
              </w:rPr>
              <w:t>これまでの行政活動を通じて形成された建物や土地といった資産を分野ごとに</w:t>
            </w:r>
            <w:r w:rsidRPr="003E140D">
              <w:rPr>
                <w:rFonts w:ascii="ＭＳ Ｐゴシック" w:eastAsia="ＭＳ Ｐゴシック" w:hAnsi="ＭＳ Ｐゴシック" w:hint="eastAsia"/>
                <w:szCs w:val="21"/>
              </w:rPr>
              <w:t>表しています。</w:t>
            </w:r>
          </w:p>
        </w:tc>
      </w:tr>
      <w:tr w:rsidR="005F4536" w:rsidRPr="003E140D" w:rsidTr="00E07B87">
        <w:trPr>
          <w:trHeight w:val="658"/>
          <w:jc w:val="center"/>
        </w:trPr>
        <w:tc>
          <w:tcPr>
            <w:tcW w:w="1985" w:type="dxa"/>
            <w:vAlign w:val="center"/>
          </w:tcPr>
          <w:p w:rsidR="005F4536" w:rsidRPr="003E140D" w:rsidRDefault="005F4536" w:rsidP="00E07B87">
            <w:pPr>
              <w:jc w:val="center"/>
              <w:rPr>
                <w:rFonts w:ascii="ＭＳ Ｐゴシック" w:eastAsia="ＭＳ Ｐゴシック" w:hAnsi="ＭＳ Ｐゴシック"/>
                <w:b/>
                <w:szCs w:val="21"/>
              </w:rPr>
            </w:pPr>
            <w:r w:rsidRPr="003E140D">
              <w:rPr>
                <w:rFonts w:ascii="ＭＳ Ｐゴシック" w:eastAsia="ＭＳ Ｐゴシック" w:hAnsi="ＭＳ Ｐゴシック" w:hint="eastAsia"/>
                <w:b/>
                <w:szCs w:val="21"/>
              </w:rPr>
              <w:t>投資等</w:t>
            </w:r>
          </w:p>
        </w:tc>
        <w:tc>
          <w:tcPr>
            <w:tcW w:w="6237" w:type="dxa"/>
            <w:vAlign w:val="center"/>
          </w:tcPr>
          <w:p w:rsidR="005F4536" w:rsidRPr="003E140D" w:rsidRDefault="005F4536" w:rsidP="00E07B87">
            <w:pPr>
              <w:rPr>
                <w:rFonts w:ascii="ＭＳ Ｐゴシック" w:eastAsia="ＭＳ Ｐゴシック" w:hAnsi="ＭＳ Ｐゴシック"/>
                <w:szCs w:val="21"/>
              </w:rPr>
            </w:pPr>
            <w:r w:rsidRPr="003E140D">
              <w:rPr>
                <w:rFonts w:ascii="ＭＳ Ｐゴシック" w:eastAsia="ＭＳ Ｐゴシック" w:hAnsi="ＭＳ Ｐゴシック" w:hint="eastAsia"/>
                <w:szCs w:val="21"/>
              </w:rPr>
              <w:t>株式や出資金（出えん金）などを計上しています。なお、市全体より普通会計の金額が大きいのは、市全体で連結する際に、普通会計からの公営事業会計に対する出資金を相殺しているためです。</w:t>
            </w:r>
          </w:p>
        </w:tc>
      </w:tr>
      <w:tr w:rsidR="005F4536" w:rsidRPr="003E140D" w:rsidTr="00E07B87">
        <w:trPr>
          <w:trHeight w:val="263"/>
          <w:jc w:val="center"/>
        </w:trPr>
        <w:tc>
          <w:tcPr>
            <w:tcW w:w="1985" w:type="dxa"/>
            <w:vAlign w:val="center"/>
          </w:tcPr>
          <w:p w:rsidR="005F4536" w:rsidRPr="003E140D" w:rsidRDefault="005F4536" w:rsidP="00E07B87">
            <w:pPr>
              <w:jc w:val="center"/>
              <w:rPr>
                <w:rFonts w:ascii="ＭＳ Ｐゴシック" w:eastAsia="ＭＳ Ｐゴシック" w:hAnsi="ＭＳ Ｐゴシック"/>
                <w:b/>
                <w:szCs w:val="21"/>
              </w:rPr>
            </w:pPr>
            <w:r w:rsidRPr="003E140D">
              <w:rPr>
                <w:rFonts w:ascii="ＭＳ Ｐゴシック" w:eastAsia="ＭＳ Ｐゴシック" w:hAnsi="ＭＳ Ｐゴシック" w:hint="eastAsia"/>
                <w:b/>
                <w:szCs w:val="21"/>
              </w:rPr>
              <w:t>流動資産</w:t>
            </w:r>
          </w:p>
        </w:tc>
        <w:tc>
          <w:tcPr>
            <w:tcW w:w="6237" w:type="dxa"/>
            <w:vAlign w:val="center"/>
          </w:tcPr>
          <w:p w:rsidR="005F4536" w:rsidRPr="003E140D" w:rsidRDefault="005F4536" w:rsidP="00E07B87">
            <w:pPr>
              <w:rPr>
                <w:rFonts w:ascii="ＭＳ Ｐゴシック" w:eastAsia="ＭＳ Ｐゴシック" w:hAnsi="ＭＳ Ｐゴシック"/>
                <w:szCs w:val="21"/>
              </w:rPr>
            </w:pPr>
            <w:r w:rsidRPr="003E140D">
              <w:rPr>
                <w:rFonts w:ascii="ＭＳ Ｐゴシック" w:eastAsia="ＭＳ Ｐゴシック" w:hAnsi="ＭＳ Ｐゴシック" w:hint="eastAsia"/>
                <w:szCs w:val="21"/>
              </w:rPr>
              <w:t>現金や財政調整基金などの資金や未収金を計上しています。なお、販売用不動産として、工業団地を計上しています。</w:t>
            </w:r>
          </w:p>
        </w:tc>
      </w:tr>
      <w:tr w:rsidR="005F4536" w:rsidRPr="003E140D" w:rsidTr="00E07B87">
        <w:trPr>
          <w:trHeight w:val="481"/>
          <w:jc w:val="center"/>
        </w:trPr>
        <w:tc>
          <w:tcPr>
            <w:tcW w:w="1985" w:type="dxa"/>
            <w:vAlign w:val="center"/>
          </w:tcPr>
          <w:p w:rsidR="005F4536" w:rsidRPr="003E140D" w:rsidRDefault="005F4536" w:rsidP="00E07B87">
            <w:pPr>
              <w:jc w:val="center"/>
              <w:rPr>
                <w:rFonts w:ascii="ＭＳ Ｐゴシック" w:eastAsia="ＭＳ Ｐゴシック" w:hAnsi="ＭＳ Ｐゴシック"/>
                <w:b/>
                <w:szCs w:val="21"/>
              </w:rPr>
            </w:pPr>
            <w:r w:rsidRPr="003E140D">
              <w:rPr>
                <w:rFonts w:ascii="ＭＳ Ｐゴシック" w:eastAsia="ＭＳ Ｐゴシック" w:hAnsi="ＭＳ Ｐゴシック" w:hint="eastAsia"/>
                <w:b/>
                <w:szCs w:val="21"/>
              </w:rPr>
              <w:t>繰延勘定</w:t>
            </w:r>
          </w:p>
        </w:tc>
        <w:tc>
          <w:tcPr>
            <w:tcW w:w="6237" w:type="dxa"/>
            <w:vAlign w:val="center"/>
          </w:tcPr>
          <w:p w:rsidR="005F4536" w:rsidRPr="003E140D" w:rsidRDefault="005F4536" w:rsidP="00E07B87">
            <w:pPr>
              <w:rPr>
                <w:rFonts w:ascii="ＭＳ Ｐゴシック" w:eastAsia="ＭＳ Ｐゴシック" w:hAnsi="ＭＳ Ｐゴシック"/>
                <w:szCs w:val="21"/>
              </w:rPr>
            </w:pPr>
            <w:r w:rsidRPr="003E140D">
              <w:rPr>
                <w:rFonts w:ascii="ＭＳ Ｐゴシック" w:eastAsia="ＭＳ Ｐゴシック" w:hAnsi="ＭＳ Ｐゴシック" w:hint="eastAsia"/>
                <w:szCs w:val="21"/>
              </w:rPr>
              <w:t>支出した費用の効果が、後年度にも及ぶものを計上しています。</w:t>
            </w:r>
          </w:p>
        </w:tc>
      </w:tr>
    </w:tbl>
    <w:p w:rsidR="005F4536" w:rsidRPr="003E140D" w:rsidRDefault="005F4536" w:rsidP="005F4536"/>
    <w:p w:rsidR="005F4536" w:rsidRPr="003E140D" w:rsidRDefault="005F4536" w:rsidP="005F4536">
      <w:pPr>
        <w:jc w:val="center"/>
      </w:pPr>
      <w:r>
        <w:rPr>
          <w:noProof/>
        </w:rPr>
        <w:lastRenderedPageBreak/>
        <w:drawing>
          <wp:inline distT="0" distB="0" distL="0" distR="0">
            <wp:extent cx="5372100" cy="32194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219450"/>
                    </a:xfrm>
                    <a:prstGeom prst="rect">
                      <a:avLst/>
                    </a:prstGeom>
                    <a:noFill/>
                    <a:ln>
                      <a:noFill/>
                    </a:ln>
                  </pic:spPr>
                </pic:pic>
              </a:graphicData>
            </a:graphic>
          </wp:inline>
        </w:drawing>
      </w:r>
    </w:p>
    <w:p w:rsidR="005F4536" w:rsidRPr="003E140D" w:rsidRDefault="005F4536" w:rsidP="005F4536"/>
    <w:p w:rsidR="005F4536" w:rsidRPr="003E140D" w:rsidRDefault="005F4536" w:rsidP="005F4536"/>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237"/>
      </w:tblGrid>
      <w:tr w:rsidR="005F4536" w:rsidRPr="003E140D" w:rsidTr="00E07B87">
        <w:trPr>
          <w:trHeight w:val="1734"/>
          <w:jc w:val="center"/>
        </w:trPr>
        <w:tc>
          <w:tcPr>
            <w:tcW w:w="1985" w:type="dxa"/>
            <w:vAlign w:val="center"/>
          </w:tcPr>
          <w:p w:rsidR="005F4536" w:rsidRPr="003E140D" w:rsidRDefault="005F4536" w:rsidP="00E07B87">
            <w:pPr>
              <w:jc w:val="center"/>
              <w:rPr>
                <w:rFonts w:ascii="ＭＳ Ｐゴシック" w:eastAsia="ＭＳ Ｐゴシック" w:hAnsi="ＭＳ Ｐゴシック"/>
                <w:b/>
                <w:szCs w:val="21"/>
              </w:rPr>
            </w:pPr>
            <w:r w:rsidRPr="003E140D">
              <w:rPr>
                <w:rFonts w:ascii="ＭＳ Ｐゴシック" w:eastAsia="ＭＳ Ｐゴシック" w:hAnsi="ＭＳ Ｐゴシック" w:hint="eastAsia"/>
                <w:b/>
                <w:szCs w:val="21"/>
              </w:rPr>
              <w:t>固定負債</w:t>
            </w:r>
          </w:p>
        </w:tc>
        <w:tc>
          <w:tcPr>
            <w:tcW w:w="6237" w:type="dxa"/>
            <w:vAlign w:val="center"/>
          </w:tcPr>
          <w:p w:rsidR="005F4536" w:rsidRPr="003E140D" w:rsidRDefault="005F4536" w:rsidP="00E07B87">
            <w:pPr>
              <w:rPr>
                <w:rFonts w:ascii="ＭＳ Ｐゴシック" w:eastAsia="ＭＳ Ｐゴシック" w:hAnsi="ＭＳ Ｐゴシック"/>
                <w:szCs w:val="21"/>
              </w:rPr>
            </w:pPr>
            <w:r w:rsidRPr="003E140D">
              <w:rPr>
                <w:rFonts w:ascii="ＭＳ ゴシック" w:eastAsia="ＭＳ ゴシック" w:hAnsi="ＭＳ ゴシック" w:hint="eastAsia"/>
                <w:szCs w:val="21"/>
              </w:rPr>
              <w:t>「地方債」には、翌々年度以降の未償還残高を計上しています。また、「引当金」には、主に職員の退職手当引当金を、「その他」には、翌々年度以降に支払わなければならない債務額（債務負担行為）を計上しています。</w:t>
            </w:r>
          </w:p>
        </w:tc>
      </w:tr>
      <w:tr w:rsidR="005F4536" w:rsidRPr="003E140D" w:rsidTr="00E07B87">
        <w:trPr>
          <w:trHeight w:val="1392"/>
          <w:jc w:val="center"/>
        </w:trPr>
        <w:tc>
          <w:tcPr>
            <w:tcW w:w="1985" w:type="dxa"/>
            <w:vAlign w:val="center"/>
          </w:tcPr>
          <w:p w:rsidR="005F4536" w:rsidRPr="003E140D" w:rsidRDefault="005F4536" w:rsidP="00E07B87">
            <w:pPr>
              <w:jc w:val="center"/>
              <w:rPr>
                <w:rFonts w:ascii="ＭＳ Ｐゴシック" w:eastAsia="ＭＳ Ｐゴシック" w:hAnsi="ＭＳ Ｐゴシック"/>
                <w:b/>
                <w:szCs w:val="21"/>
              </w:rPr>
            </w:pPr>
            <w:r w:rsidRPr="003E140D">
              <w:rPr>
                <w:rFonts w:ascii="ＭＳ Ｐゴシック" w:eastAsia="ＭＳ Ｐゴシック" w:hAnsi="ＭＳ Ｐゴシック" w:hint="eastAsia"/>
                <w:b/>
                <w:szCs w:val="21"/>
              </w:rPr>
              <w:t>流動負債</w:t>
            </w:r>
          </w:p>
        </w:tc>
        <w:tc>
          <w:tcPr>
            <w:tcW w:w="6237" w:type="dxa"/>
            <w:vAlign w:val="center"/>
          </w:tcPr>
          <w:p w:rsidR="005F4536" w:rsidRPr="003E140D" w:rsidRDefault="005F4536" w:rsidP="00E07B87">
            <w:pPr>
              <w:rPr>
                <w:rFonts w:ascii="ＭＳ ゴシック" w:eastAsia="ＭＳ ゴシック" w:hAnsi="ＭＳ ゴシック"/>
                <w:szCs w:val="21"/>
              </w:rPr>
            </w:pPr>
            <w:r w:rsidRPr="003E140D">
              <w:rPr>
                <w:rFonts w:ascii="ＭＳ ゴシック" w:eastAsia="ＭＳ ゴシック" w:hAnsi="ＭＳ ゴシック" w:hint="eastAsia"/>
                <w:szCs w:val="21"/>
              </w:rPr>
              <w:t>地方債の翌年度償還予定額のほか、「その他」として、翌年度に支払い予定の債務額（債務負担行為）、職員の賞与引当金を計上しています。</w:t>
            </w:r>
          </w:p>
        </w:tc>
      </w:tr>
      <w:tr w:rsidR="005F4536" w:rsidRPr="003E140D" w:rsidTr="00E07B87">
        <w:trPr>
          <w:trHeight w:val="986"/>
          <w:jc w:val="center"/>
        </w:trPr>
        <w:tc>
          <w:tcPr>
            <w:tcW w:w="1985" w:type="dxa"/>
            <w:vAlign w:val="center"/>
          </w:tcPr>
          <w:p w:rsidR="005F4536" w:rsidRPr="003E140D" w:rsidRDefault="005F4536" w:rsidP="00E07B87">
            <w:pPr>
              <w:jc w:val="center"/>
              <w:rPr>
                <w:rFonts w:ascii="ＭＳ Ｐゴシック" w:eastAsia="ＭＳ Ｐゴシック" w:hAnsi="ＭＳ Ｐゴシック"/>
                <w:b/>
                <w:szCs w:val="21"/>
              </w:rPr>
            </w:pPr>
            <w:r w:rsidRPr="003E140D">
              <w:rPr>
                <w:rFonts w:ascii="ＭＳ Ｐゴシック" w:eastAsia="ＭＳ Ｐゴシック" w:hAnsi="ＭＳ Ｐゴシック" w:hint="eastAsia"/>
                <w:b/>
                <w:szCs w:val="21"/>
              </w:rPr>
              <w:t>純資産合計</w:t>
            </w:r>
          </w:p>
        </w:tc>
        <w:tc>
          <w:tcPr>
            <w:tcW w:w="6237" w:type="dxa"/>
            <w:vAlign w:val="center"/>
          </w:tcPr>
          <w:p w:rsidR="005F4536" w:rsidRPr="003E140D" w:rsidRDefault="005F4536" w:rsidP="00E07B87">
            <w:pPr>
              <w:rPr>
                <w:rFonts w:ascii="ＭＳ ゴシック" w:eastAsia="ＭＳ ゴシック" w:hAnsi="ＭＳ ゴシック"/>
                <w:szCs w:val="21"/>
              </w:rPr>
            </w:pPr>
            <w:r w:rsidRPr="003E140D">
              <w:rPr>
                <w:rFonts w:ascii="ＭＳ ゴシック" w:eastAsia="ＭＳ ゴシック" w:hAnsi="ＭＳ ゴシック" w:hint="eastAsia"/>
                <w:szCs w:val="21"/>
              </w:rPr>
              <w:t>これまでの公共資産等の整備に充当した国や県の補助金のほか、市の負担額の合計額を計上しています。</w:t>
            </w:r>
          </w:p>
        </w:tc>
      </w:tr>
    </w:tbl>
    <w:p w:rsidR="005F4536" w:rsidRPr="003E140D" w:rsidRDefault="005F4536" w:rsidP="005F4536"/>
    <w:p w:rsidR="005F4536" w:rsidRPr="003E140D" w:rsidRDefault="005F4536" w:rsidP="005F4536"/>
    <w:tbl>
      <w:tblPr>
        <w:tblW w:w="0" w:type="auto"/>
        <w:jc w:val="center"/>
        <w:tblInd w:w="25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222"/>
      </w:tblGrid>
      <w:tr w:rsidR="005F4536" w:rsidRPr="003E140D" w:rsidTr="00E07B87">
        <w:trPr>
          <w:trHeight w:val="1637"/>
          <w:jc w:val="center"/>
        </w:trPr>
        <w:tc>
          <w:tcPr>
            <w:tcW w:w="8222" w:type="dxa"/>
            <w:vAlign w:val="center"/>
          </w:tcPr>
          <w:p w:rsidR="005F4536" w:rsidRPr="003E140D" w:rsidRDefault="005F4536" w:rsidP="00E07B87">
            <w:pPr>
              <w:ind w:firstLineChars="100" w:firstLine="210"/>
              <w:rPr>
                <w:rFonts w:ascii="ＭＳ Ｐゴシック" w:eastAsia="ＭＳ Ｐゴシック" w:hAnsi="ＭＳ Ｐゴシック"/>
              </w:rPr>
            </w:pPr>
            <w:r w:rsidRPr="007C79F4">
              <w:rPr>
                <w:rFonts w:ascii="ＭＳ Ｐゴシック" w:eastAsia="ＭＳ Ｐゴシック" w:hAnsi="ＭＳ Ｐゴシック" w:hint="eastAsia"/>
              </w:rPr>
              <w:t>市民一人あたりの資産に換算すると、市全体では約227万円、普通会計では約152万円となります。また、負債は、市全体では約117万円、普通会計では約68万円となります。（平成25年度末の住民基本台帳人口176,259人</w:t>
            </w:r>
            <w:r w:rsidRPr="003E140D">
              <w:rPr>
                <w:rFonts w:ascii="ＭＳ Ｐゴシック" w:eastAsia="ＭＳ Ｐゴシック" w:hAnsi="ＭＳ Ｐゴシック" w:hint="eastAsia"/>
              </w:rPr>
              <w:t>で算出）</w:t>
            </w:r>
          </w:p>
        </w:tc>
      </w:tr>
    </w:tbl>
    <w:p w:rsidR="005F4536" w:rsidRPr="003E140D" w:rsidRDefault="005F4536" w:rsidP="005F4536">
      <w:pPr>
        <w:rPr>
          <w:rFonts w:eastAsia="ＭＳ ゴシック"/>
          <w:sz w:val="24"/>
        </w:rPr>
      </w:pPr>
      <w:r w:rsidRPr="003E140D">
        <w:br w:type="page"/>
      </w:r>
      <w:r w:rsidRPr="003E140D">
        <w:rPr>
          <w:rFonts w:eastAsia="ＭＳ ゴシック" w:hint="eastAsia"/>
          <w:sz w:val="32"/>
          <w:u w:val="double"/>
        </w:rPr>
        <w:lastRenderedPageBreak/>
        <w:t xml:space="preserve">Ⅲ　行政コスト計算書　　　　　　　　　　　　　　　　　　　　　</w:t>
      </w:r>
    </w:p>
    <w:p w:rsidR="005F4536" w:rsidRPr="003E140D" w:rsidRDefault="005F4536" w:rsidP="005F4536">
      <w:pPr>
        <w:pStyle w:val="Default"/>
        <w:rPr>
          <w:color w:val="auto"/>
        </w:rPr>
      </w:pPr>
    </w:p>
    <w:p w:rsidR="005F4536" w:rsidRDefault="005F4536" w:rsidP="005F4536">
      <w:pPr>
        <w:ind w:firstLineChars="100" w:firstLine="220"/>
        <w:rPr>
          <w:rFonts w:ascii="ＭＳ ゴシック" w:eastAsia="ＭＳ ゴシック" w:hAnsi="ＭＳ ゴシック"/>
          <w:sz w:val="22"/>
          <w:szCs w:val="22"/>
        </w:rPr>
      </w:pPr>
      <w:r w:rsidRPr="003E140D">
        <w:rPr>
          <w:rFonts w:ascii="ＭＳ ゴシック" w:eastAsia="ＭＳ ゴシック" w:hAnsi="ＭＳ ゴシック" w:hint="eastAsia"/>
          <w:sz w:val="22"/>
          <w:szCs w:val="22"/>
        </w:rPr>
        <w:t>行政コスト計算書は、資産形成以外の１年間の経常的な行政サービスにかかった費用（行政コスト）と、その行政サービスの対価である受益者負担などの収入の状況を表しています。</w:t>
      </w:r>
    </w:p>
    <w:p w:rsidR="005F4536" w:rsidRPr="003E140D" w:rsidRDefault="005F4536" w:rsidP="005F4536">
      <w:pPr>
        <w:jc w:val="center"/>
      </w:pPr>
      <w:r>
        <w:rPr>
          <w:noProof/>
        </w:rPr>
        <w:drawing>
          <wp:inline distT="0" distB="0" distL="0" distR="0">
            <wp:extent cx="5219700" cy="5981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5981700"/>
                    </a:xfrm>
                    <a:prstGeom prst="rect">
                      <a:avLst/>
                    </a:prstGeom>
                    <a:noFill/>
                    <a:ln>
                      <a:noFill/>
                    </a:ln>
                  </pic:spPr>
                </pic:pic>
              </a:graphicData>
            </a:graphic>
          </wp:inline>
        </w:drawing>
      </w:r>
    </w:p>
    <w:p w:rsidR="005F4536" w:rsidRPr="003E140D" w:rsidRDefault="005F4536" w:rsidP="005F4536"/>
    <w:tbl>
      <w:tblPr>
        <w:tblW w:w="0" w:type="auto"/>
        <w:jc w:val="center"/>
        <w:tblInd w:w="25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363"/>
      </w:tblGrid>
      <w:tr w:rsidR="005F4536" w:rsidRPr="003E140D" w:rsidTr="00E07B87">
        <w:trPr>
          <w:trHeight w:val="2010"/>
          <w:jc w:val="center"/>
        </w:trPr>
        <w:tc>
          <w:tcPr>
            <w:tcW w:w="8363" w:type="dxa"/>
            <w:vAlign w:val="center"/>
          </w:tcPr>
          <w:p w:rsidR="005F4536" w:rsidRPr="003E140D" w:rsidRDefault="005F4536" w:rsidP="00E07B87">
            <w:pPr>
              <w:ind w:firstLineChars="100" w:firstLine="210"/>
              <w:rPr>
                <w:rFonts w:ascii="ＭＳ Ｐゴシック" w:eastAsia="ＭＳ Ｐゴシック" w:hAnsi="ＭＳ Ｐゴシック"/>
              </w:rPr>
            </w:pPr>
            <w:r w:rsidRPr="003E140D">
              <w:rPr>
                <w:rFonts w:ascii="ＭＳ Ｐゴシック" w:eastAsia="ＭＳ Ｐゴシック" w:hAnsi="ＭＳ Ｐゴシック" w:hint="eastAsia"/>
              </w:rPr>
              <w:t>受益者負担比率（B÷A）は、市全体で</w:t>
            </w:r>
            <w:r w:rsidRPr="007C79F4">
              <w:rPr>
                <w:rFonts w:ascii="ＭＳ Ｐゴシック" w:eastAsia="ＭＳ Ｐゴシック" w:hAnsi="ＭＳ Ｐゴシック" w:hint="eastAsia"/>
              </w:rPr>
              <w:t>は36.9</w:t>
            </w:r>
            <w:r w:rsidRPr="003E140D">
              <w:rPr>
                <w:rFonts w:ascii="ＭＳ Ｐゴシック" w:eastAsia="ＭＳ Ｐゴシック" w:hAnsi="ＭＳ Ｐゴシック" w:hint="eastAsia"/>
              </w:rPr>
              <w:t>％であるのに対し、普通会計で</w:t>
            </w:r>
            <w:r w:rsidRPr="007C79F4">
              <w:rPr>
                <w:rFonts w:ascii="ＭＳ Ｐゴシック" w:eastAsia="ＭＳ Ｐゴシック" w:hAnsi="ＭＳ Ｐゴシック" w:hint="eastAsia"/>
              </w:rPr>
              <w:t>は5.1％</w:t>
            </w:r>
            <w:r w:rsidRPr="003E140D">
              <w:rPr>
                <w:rFonts w:ascii="ＭＳ Ｐゴシック" w:eastAsia="ＭＳ Ｐゴシック" w:hAnsi="ＭＳ Ｐゴシック" w:hint="eastAsia"/>
              </w:rPr>
              <w:t>となっています。これは、各公営事業会計では、受益者負担（料金収入などの事業収益）などにより、その事業にかかる経費の財源を調達しているためです。</w:t>
            </w:r>
          </w:p>
          <w:p w:rsidR="005F4536" w:rsidRPr="003E140D" w:rsidRDefault="005F4536" w:rsidP="00E07B87">
            <w:pPr>
              <w:ind w:firstLineChars="100" w:firstLine="210"/>
              <w:rPr>
                <w:rFonts w:ascii="ＭＳ Ｐゴシック" w:eastAsia="ＭＳ Ｐゴシック" w:hAnsi="ＭＳ Ｐゴシック"/>
              </w:rPr>
            </w:pPr>
            <w:r w:rsidRPr="007C79F4">
              <w:rPr>
                <w:rFonts w:ascii="ＭＳ Ｐゴシック" w:eastAsia="ＭＳ Ｐゴシック" w:hAnsi="ＭＳ Ｐゴシック" w:hint="eastAsia"/>
              </w:rPr>
              <w:t>なお、市民一人あたりの行政コストに換算すると、市全体では約38万円、普通会計では約32万円となります。（平成25年度末の住民基本台帳人口176,259人</w:t>
            </w:r>
            <w:r w:rsidRPr="003E140D">
              <w:rPr>
                <w:rFonts w:ascii="ＭＳ Ｐゴシック" w:eastAsia="ＭＳ Ｐゴシック" w:hAnsi="ＭＳ Ｐゴシック" w:hint="eastAsia"/>
              </w:rPr>
              <w:t>で算出）</w:t>
            </w:r>
          </w:p>
        </w:tc>
      </w:tr>
    </w:tbl>
    <w:p w:rsidR="005F4536" w:rsidRPr="003E140D" w:rsidRDefault="005F4536" w:rsidP="005F4536">
      <w:pPr>
        <w:rPr>
          <w:rFonts w:eastAsia="ＭＳ ゴシック"/>
          <w:sz w:val="24"/>
        </w:rPr>
      </w:pPr>
      <w:r w:rsidRPr="003E140D">
        <w:br w:type="page"/>
      </w:r>
      <w:r w:rsidRPr="003E140D">
        <w:rPr>
          <w:rFonts w:eastAsia="ＭＳ ゴシック" w:hint="eastAsia"/>
          <w:sz w:val="32"/>
          <w:u w:val="double"/>
        </w:rPr>
        <w:lastRenderedPageBreak/>
        <w:t xml:space="preserve">Ⅳ　純資産変動計算書　　　　　　　　　　　　　　　　　　　　　</w:t>
      </w:r>
    </w:p>
    <w:p w:rsidR="005F4536" w:rsidRPr="003E140D" w:rsidRDefault="005F4536" w:rsidP="005F4536">
      <w:pPr>
        <w:pStyle w:val="Default"/>
        <w:rPr>
          <w:color w:val="auto"/>
        </w:rPr>
      </w:pPr>
    </w:p>
    <w:p w:rsidR="005F4536" w:rsidRDefault="005F4536" w:rsidP="005F4536">
      <w:pPr>
        <w:ind w:firstLineChars="100" w:firstLine="220"/>
        <w:rPr>
          <w:rFonts w:ascii="ＭＳ ゴシック" w:eastAsia="ＭＳ ゴシック" w:hAnsi="ＭＳ ゴシック"/>
          <w:sz w:val="22"/>
          <w:szCs w:val="22"/>
        </w:rPr>
      </w:pPr>
      <w:r w:rsidRPr="003E140D">
        <w:rPr>
          <w:rFonts w:ascii="ＭＳ ゴシック" w:eastAsia="ＭＳ ゴシック" w:hAnsi="ＭＳ ゴシック" w:hint="eastAsia"/>
          <w:sz w:val="22"/>
          <w:szCs w:val="22"/>
        </w:rPr>
        <w:t>純資産変動計算書は、貸借対照表の純資産が、この１年間で、どのように増減したかを表しています。</w:t>
      </w:r>
    </w:p>
    <w:p w:rsidR="005F4536" w:rsidRPr="003E140D" w:rsidRDefault="005F4536" w:rsidP="005F4536">
      <w:pPr>
        <w:ind w:firstLineChars="100" w:firstLine="210"/>
        <w:rPr>
          <w:rFonts w:ascii="ＭＳ ゴシック" w:eastAsia="ＭＳ ゴシック" w:hAnsi="ＭＳ ゴシック"/>
          <w:sz w:val="22"/>
          <w:szCs w:val="22"/>
        </w:rPr>
      </w:pPr>
      <w:r>
        <w:rPr>
          <w:noProof/>
        </w:rPr>
        <w:drawing>
          <wp:inline distT="0" distB="0" distL="0" distR="0">
            <wp:extent cx="5391150" cy="40005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4000500"/>
                    </a:xfrm>
                    <a:prstGeom prst="rect">
                      <a:avLst/>
                    </a:prstGeom>
                    <a:noFill/>
                    <a:ln>
                      <a:noFill/>
                    </a:ln>
                  </pic:spPr>
                </pic:pic>
              </a:graphicData>
            </a:graphic>
          </wp:inline>
        </w:drawing>
      </w:r>
    </w:p>
    <w:p w:rsidR="005F4536" w:rsidRPr="003E140D" w:rsidRDefault="005F4536" w:rsidP="005F4536">
      <w:pPr>
        <w:ind w:firstLineChars="100" w:firstLine="220"/>
        <w:rPr>
          <w:rFonts w:ascii="ＭＳ ゴシック" w:eastAsia="ＭＳ ゴシック" w:hAnsi="ＭＳ ゴシック"/>
          <w:sz w:val="22"/>
          <w:szCs w:val="22"/>
        </w:rPr>
      </w:pPr>
    </w:p>
    <w:p w:rsidR="005F4536" w:rsidRPr="003E140D" w:rsidRDefault="005F4536" w:rsidP="005F4536">
      <w:pPr>
        <w:ind w:firstLineChars="100" w:firstLine="220"/>
        <w:rPr>
          <w:rFonts w:ascii="ＭＳ ゴシック" w:eastAsia="ＭＳ ゴシック" w:hAnsi="ＭＳ ゴシック"/>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451"/>
      </w:tblGrid>
      <w:tr w:rsidR="005F4536" w:rsidRPr="003E140D" w:rsidTr="00E07B87">
        <w:trPr>
          <w:trHeight w:val="463"/>
          <w:jc w:val="center"/>
        </w:trPr>
        <w:tc>
          <w:tcPr>
            <w:tcW w:w="1985" w:type="dxa"/>
            <w:vAlign w:val="center"/>
          </w:tcPr>
          <w:p w:rsidR="005F4536" w:rsidRPr="003E140D" w:rsidRDefault="005F4536" w:rsidP="00E07B87">
            <w:pPr>
              <w:jc w:val="center"/>
              <w:rPr>
                <w:rFonts w:ascii="ＭＳ Ｐゴシック" w:eastAsia="ＭＳ Ｐゴシック" w:hAnsi="ＭＳ Ｐゴシック"/>
                <w:b/>
              </w:rPr>
            </w:pPr>
            <w:r w:rsidRPr="003E140D">
              <w:rPr>
                <w:rFonts w:ascii="ＭＳ Ｐゴシック" w:eastAsia="ＭＳ Ｐゴシック" w:hAnsi="ＭＳ Ｐゴシック" w:hint="eastAsia"/>
                <w:b/>
              </w:rPr>
              <w:t>期首純資産残高</w:t>
            </w:r>
          </w:p>
        </w:tc>
        <w:tc>
          <w:tcPr>
            <w:tcW w:w="6451" w:type="dxa"/>
            <w:vAlign w:val="center"/>
          </w:tcPr>
          <w:p w:rsidR="005F4536" w:rsidRPr="003E140D" w:rsidRDefault="005F4536" w:rsidP="00E07B87">
            <w:pPr>
              <w:rPr>
                <w:rFonts w:ascii="ＭＳ Ｐゴシック" w:eastAsia="ＭＳ Ｐゴシック" w:hAnsi="ＭＳ Ｐゴシック"/>
              </w:rPr>
            </w:pPr>
            <w:r w:rsidRPr="003E140D">
              <w:rPr>
                <w:rFonts w:ascii="ＭＳ Ｐゴシック" w:eastAsia="ＭＳ Ｐゴシック" w:hAnsi="ＭＳ Ｐゴシック" w:hint="eastAsia"/>
              </w:rPr>
              <w:t>平成</w:t>
            </w:r>
            <w:r w:rsidRPr="007C79F4">
              <w:rPr>
                <w:rFonts w:ascii="ＭＳ Ｐゴシック" w:eastAsia="ＭＳ Ｐゴシック" w:hAnsi="ＭＳ Ｐゴシック" w:hint="eastAsia"/>
              </w:rPr>
              <w:t>24年</w:t>
            </w:r>
            <w:r w:rsidRPr="003E140D">
              <w:rPr>
                <w:rFonts w:ascii="ＭＳ Ｐゴシック" w:eastAsia="ＭＳ Ｐゴシック" w:hAnsi="ＭＳ Ｐゴシック" w:hint="eastAsia"/>
              </w:rPr>
              <w:t>度末時点での純資産残高を表しています。</w:t>
            </w:r>
          </w:p>
        </w:tc>
      </w:tr>
      <w:tr w:rsidR="005F4536" w:rsidRPr="003E140D" w:rsidTr="00E07B87">
        <w:trPr>
          <w:trHeight w:val="800"/>
          <w:jc w:val="center"/>
        </w:trPr>
        <w:tc>
          <w:tcPr>
            <w:tcW w:w="1985" w:type="dxa"/>
            <w:vAlign w:val="center"/>
          </w:tcPr>
          <w:p w:rsidR="005F4536" w:rsidRPr="003E140D" w:rsidRDefault="005F4536" w:rsidP="00E07B87">
            <w:pPr>
              <w:jc w:val="center"/>
              <w:rPr>
                <w:rFonts w:ascii="ＭＳ Ｐゴシック" w:eastAsia="ＭＳ Ｐゴシック" w:hAnsi="ＭＳ Ｐゴシック"/>
                <w:b/>
              </w:rPr>
            </w:pPr>
            <w:r w:rsidRPr="003E140D">
              <w:rPr>
                <w:rFonts w:ascii="ＭＳ Ｐゴシック" w:eastAsia="ＭＳ Ｐゴシック" w:hAnsi="ＭＳ Ｐゴシック" w:hint="eastAsia"/>
                <w:b/>
              </w:rPr>
              <w:t>純経常行政コスト</w:t>
            </w:r>
          </w:p>
        </w:tc>
        <w:tc>
          <w:tcPr>
            <w:tcW w:w="6451" w:type="dxa"/>
            <w:vAlign w:val="center"/>
          </w:tcPr>
          <w:p w:rsidR="005F4536" w:rsidRPr="003E140D" w:rsidRDefault="005F4536" w:rsidP="00E07B87">
            <w:pPr>
              <w:rPr>
                <w:rFonts w:ascii="ＭＳ Ｐゴシック" w:eastAsia="ＭＳ Ｐゴシック" w:hAnsi="ＭＳ Ｐゴシック"/>
              </w:rPr>
            </w:pPr>
            <w:r w:rsidRPr="003E140D">
              <w:rPr>
                <w:rFonts w:ascii="ＭＳ Ｐゴシック" w:eastAsia="ＭＳ Ｐゴシック" w:hAnsi="ＭＳ Ｐゴシック" w:hint="eastAsia"/>
              </w:rPr>
              <w:t>「行政コスト計算書」で算出した、経常的な行政サービスを提供するために要した財源を、純資産から調達したという考え方に基づき、マイナス計上しています。</w:t>
            </w:r>
          </w:p>
        </w:tc>
      </w:tr>
      <w:tr w:rsidR="005F4536" w:rsidRPr="003E140D" w:rsidTr="00E07B87">
        <w:trPr>
          <w:trHeight w:val="800"/>
          <w:jc w:val="center"/>
        </w:trPr>
        <w:tc>
          <w:tcPr>
            <w:tcW w:w="1985" w:type="dxa"/>
            <w:vAlign w:val="center"/>
          </w:tcPr>
          <w:p w:rsidR="005F4536" w:rsidRPr="003E140D" w:rsidRDefault="005F4536" w:rsidP="00E07B87">
            <w:pPr>
              <w:jc w:val="center"/>
              <w:rPr>
                <w:rFonts w:ascii="ＭＳ Ｐゴシック" w:eastAsia="ＭＳ Ｐゴシック" w:hAnsi="ＭＳ Ｐゴシック"/>
                <w:b/>
              </w:rPr>
            </w:pPr>
            <w:r w:rsidRPr="003E140D">
              <w:rPr>
                <w:rFonts w:ascii="ＭＳ Ｐゴシック" w:eastAsia="ＭＳ Ｐゴシック" w:hAnsi="ＭＳ Ｐゴシック" w:hint="eastAsia"/>
                <w:b/>
              </w:rPr>
              <w:t>財源調達</w:t>
            </w:r>
          </w:p>
        </w:tc>
        <w:tc>
          <w:tcPr>
            <w:tcW w:w="6451" w:type="dxa"/>
            <w:vAlign w:val="center"/>
          </w:tcPr>
          <w:p w:rsidR="005F4536" w:rsidRPr="003E140D" w:rsidRDefault="005F4536" w:rsidP="00E07B87">
            <w:pPr>
              <w:rPr>
                <w:rFonts w:ascii="ＭＳ Ｐゴシック" w:eastAsia="ＭＳ Ｐゴシック" w:hAnsi="ＭＳ Ｐゴシック"/>
              </w:rPr>
            </w:pPr>
            <w:r w:rsidRPr="003E140D">
              <w:rPr>
                <w:rFonts w:ascii="ＭＳ Ｐゴシック" w:eastAsia="ＭＳ Ｐゴシック" w:hAnsi="ＭＳ Ｐゴシック" w:hint="eastAsia"/>
              </w:rPr>
              <w:t>平</w:t>
            </w:r>
            <w:r w:rsidRPr="007C79F4">
              <w:rPr>
                <w:rFonts w:ascii="ＭＳ Ｐゴシック" w:eastAsia="ＭＳ Ｐゴシック" w:hAnsi="ＭＳ Ｐゴシック" w:hint="eastAsia"/>
              </w:rPr>
              <w:t>成25</w:t>
            </w:r>
            <w:r w:rsidRPr="003E140D">
              <w:rPr>
                <w:rFonts w:ascii="ＭＳ Ｐゴシック" w:eastAsia="ＭＳ Ｐゴシック" w:hAnsi="ＭＳ Ｐゴシック" w:hint="eastAsia"/>
              </w:rPr>
              <w:t>年度中の財源調達の状況を表しています。「その他」には、自動車重量譲与税など地方譲与税や地方消費税交付金など国からの交付金、諸収入などの収入を計上しています。</w:t>
            </w:r>
          </w:p>
        </w:tc>
      </w:tr>
      <w:tr w:rsidR="005F4536" w:rsidRPr="003E140D" w:rsidTr="00E07B87">
        <w:trPr>
          <w:trHeight w:val="800"/>
          <w:jc w:val="center"/>
        </w:trPr>
        <w:tc>
          <w:tcPr>
            <w:tcW w:w="1985" w:type="dxa"/>
            <w:vAlign w:val="center"/>
          </w:tcPr>
          <w:p w:rsidR="005F4536" w:rsidRPr="003E140D" w:rsidRDefault="005F4536" w:rsidP="00E07B87">
            <w:pPr>
              <w:jc w:val="center"/>
              <w:rPr>
                <w:rFonts w:ascii="ＭＳ Ｐゴシック" w:eastAsia="ＭＳ Ｐゴシック" w:hAnsi="ＭＳ Ｐゴシック"/>
                <w:b/>
              </w:rPr>
            </w:pPr>
            <w:r w:rsidRPr="003E140D">
              <w:rPr>
                <w:rFonts w:ascii="ＭＳ Ｐゴシック" w:eastAsia="ＭＳ Ｐゴシック" w:hAnsi="ＭＳ Ｐゴシック" w:hint="eastAsia"/>
                <w:b/>
              </w:rPr>
              <w:t>その他</w:t>
            </w:r>
          </w:p>
        </w:tc>
        <w:tc>
          <w:tcPr>
            <w:tcW w:w="6451" w:type="dxa"/>
            <w:vAlign w:val="center"/>
          </w:tcPr>
          <w:p w:rsidR="005F4536" w:rsidRPr="003E140D" w:rsidRDefault="005F4536" w:rsidP="00E07B87">
            <w:pPr>
              <w:rPr>
                <w:rFonts w:ascii="ＭＳ Ｐゴシック" w:eastAsia="ＭＳ Ｐゴシック" w:hAnsi="ＭＳ Ｐゴシック"/>
              </w:rPr>
            </w:pPr>
            <w:r w:rsidRPr="003E140D">
              <w:rPr>
                <w:rFonts w:ascii="ＭＳ Ｐゴシック" w:eastAsia="ＭＳ Ｐゴシック" w:hAnsi="ＭＳ Ｐゴシック" w:hint="eastAsia"/>
              </w:rPr>
              <w:t>平成</w:t>
            </w:r>
            <w:r w:rsidRPr="007C79F4">
              <w:rPr>
                <w:rFonts w:ascii="ＭＳ Ｐゴシック" w:eastAsia="ＭＳ Ｐゴシック" w:hAnsi="ＭＳ Ｐゴシック" w:hint="eastAsia"/>
              </w:rPr>
              <w:t>25</w:t>
            </w:r>
            <w:r w:rsidRPr="003E140D">
              <w:rPr>
                <w:rFonts w:ascii="ＭＳ Ｐゴシック" w:eastAsia="ＭＳ Ｐゴシック" w:hAnsi="ＭＳ Ｐゴシック" w:hint="eastAsia"/>
              </w:rPr>
              <w:t>年度中の災害復旧事業に要した経費をマイナス計上しているほか、投資損失、資産評価替による変動額などを計上しています。</w:t>
            </w:r>
          </w:p>
        </w:tc>
      </w:tr>
      <w:tr w:rsidR="005F4536" w:rsidRPr="003E140D" w:rsidTr="00E07B87">
        <w:trPr>
          <w:trHeight w:val="800"/>
          <w:jc w:val="center"/>
        </w:trPr>
        <w:tc>
          <w:tcPr>
            <w:tcW w:w="1985" w:type="dxa"/>
            <w:vAlign w:val="center"/>
          </w:tcPr>
          <w:p w:rsidR="005F4536" w:rsidRPr="003E140D" w:rsidRDefault="005F4536" w:rsidP="00E07B87">
            <w:pPr>
              <w:jc w:val="center"/>
              <w:rPr>
                <w:rFonts w:ascii="ＭＳ Ｐゴシック" w:eastAsia="ＭＳ Ｐゴシック" w:hAnsi="ＭＳ Ｐゴシック"/>
                <w:b/>
              </w:rPr>
            </w:pPr>
            <w:r w:rsidRPr="003E140D">
              <w:rPr>
                <w:rFonts w:ascii="ＭＳ Ｐゴシック" w:eastAsia="ＭＳ Ｐゴシック" w:hAnsi="ＭＳ Ｐゴシック" w:hint="eastAsia"/>
                <w:b/>
              </w:rPr>
              <w:t>期末純資産残高</w:t>
            </w:r>
          </w:p>
        </w:tc>
        <w:tc>
          <w:tcPr>
            <w:tcW w:w="6451" w:type="dxa"/>
            <w:vAlign w:val="center"/>
          </w:tcPr>
          <w:p w:rsidR="005F4536" w:rsidRPr="003E140D" w:rsidRDefault="005F4536" w:rsidP="00E07B87">
            <w:pPr>
              <w:rPr>
                <w:rFonts w:ascii="ＭＳ Ｐゴシック" w:eastAsia="ＭＳ Ｐゴシック" w:hAnsi="ＭＳ Ｐゴシック"/>
              </w:rPr>
            </w:pPr>
            <w:r w:rsidRPr="003E140D">
              <w:rPr>
                <w:rFonts w:ascii="ＭＳ Ｐゴシック" w:eastAsia="ＭＳ Ｐゴシック" w:hAnsi="ＭＳ Ｐゴシック" w:hint="eastAsia"/>
              </w:rPr>
              <w:t>平成</w:t>
            </w:r>
            <w:r w:rsidRPr="007C79F4">
              <w:rPr>
                <w:rFonts w:ascii="ＭＳ Ｐゴシック" w:eastAsia="ＭＳ Ｐゴシック" w:hAnsi="ＭＳ Ｐゴシック" w:hint="eastAsia"/>
              </w:rPr>
              <w:t>25</w:t>
            </w:r>
            <w:r w:rsidRPr="003E140D">
              <w:rPr>
                <w:rFonts w:ascii="ＭＳ Ｐゴシック" w:eastAsia="ＭＳ Ｐゴシック" w:hAnsi="ＭＳ Ｐゴシック" w:hint="eastAsia"/>
              </w:rPr>
              <w:t>年度末時点での純資産残高を表しています。なお、貸借対照表の純資産合計と一致しています。</w:t>
            </w:r>
          </w:p>
        </w:tc>
      </w:tr>
    </w:tbl>
    <w:p w:rsidR="005F4536" w:rsidRPr="003E140D" w:rsidRDefault="005F4536" w:rsidP="005F4536">
      <w:pPr>
        <w:rPr>
          <w:rFonts w:ascii="ＭＳ ゴシック" w:eastAsia="ＭＳ ゴシック" w:hAnsi="ＭＳ 明朝"/>
          <w:sz w:val="24"/>
        </w:rPr>
      </w:pPr>
    </w:p>
    <w:p w:rsidR="005F4536" w:rsidRPr="003E140D" w:rsidRDefault="005F4536" w:rsidP="005F4536">
      <w:pPr>
        <w:rPr>
          <w:rFonts w:eastAsia="ＭＳ ゴシック"/>
          <w:sz w:val="24"/>
        </w:rPr>
      </w:pPr>
      <w:r w:rsidRPr="003E140D">
        <w:rPr>
          <w:rFonts w:ascii="ＭＳ ゴシック" w:eastAsia="ＭＳ ゴシック" w:hAnsi="ＭＳ 明朝"/>
          <w:sz w:val="24"/>
        </w:rPr>
        <w:br w:type="page"/>
      </w:r>
      <w:r w:rsidRPr="003E140D">
        <w:rPr>
          <w:rFonts w:eastAsia="ＭＳ ゴシック" w:hint="eastAsia"/>
          <w:sz w:val="32"/>
          <w:u w:val="double"/>
        </w:rPr>
        <w:lastRenderedPageBreak/>
        <w:t xml:space="preserve">Ⅴ　資金収支計算書　　　　　　　　　　　　　　　　　　　　　</w:t>
      </w:r>
    </w:p>
    <w:p w:rsidR="005F4536" w:rsidRPr="003E140D" w:rsidRDefault="005F4536" w:rsidP="005F4536">
      <w:pPr>
        <w:pStyle w:val="Default"/>
        <w:rPr>
          <w:color w:val="auto"/>
        </w:rPr>
      </w:pPr>
    </w:p>
    <w:p w:rsidR="005F4536" w:rsidRPr="003E140D" w:rsidRDefault="005F4536" w:rsidP="005F4536">
      <w:pPr>
        <w:pStyle w:val="Default"/>
        <w:ind w:firstLineChars="100" w:firstLine="220"/>
        <w:rPr>
          <w:rFonts w:hAnsi="ＭＳ ゴシック"/>
          <w:color w:val="auto"/>
          <w:sz w:val="22"/>
          <w:szCs w:val="22"/>
        </w:rPr>
      </w:pPr>
      <w:r w:rsidRPr="003E140D">
        <w:rPr>
          <w:rFonts w:hAnsi="ＭＳ ゴシック" w:hint="eastAsia"/>
          <w:color w:val="auto"/>
          <w:sz w:val="22"/>
          <w:szCs w:val="22"/>
        </w:rPr>
        <w:t>資金収支計算書は、１年間の収支の状況を、経常的な収支、公共資産の整備などに係る収支、貸付金や借入金といった投資・財務的な収支の３つに区分して表しています。</w:t>
      </w:r>
    </w:p>
    <w:p w:rsidR="005F4536" w:rsidRPr="003E140D" w:rsidRDefault="005F4536" w:rsidP="005F4536">
      <w:pPr>
        <w:pStyle w:val="Default"/>
        <w:ind w:firstLineChars="100" w:firstLine="240"/>
        <w:jc w:val="center"/>
        <w:rPr>
          <w:color w:val="auto"/>
        </w:rPr>
      </w:pPr>
      <w:r>
        <w:rPr>
          <w:noProof/>
        </w:rPr>
        <w:drawing>
          <wp:inline distT="0" distB="0" distL="0" distR="0">
            <wp:extent cx="5314950" cy="48196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4819650"/>
                    </a:xfrm>
                    <a:prstGeom prst="rect">
                      <a:avLst/>
                    </a:prstGeom>
                    <a:noFill/>
                    <a:ln>
                      <a:noFill/>
                    </a:ln>
                  </pic:spPr>
                </pic:pic>
              </a:graphicData>
            </a:graphic>
          </wp:inline>
        </w:drawing>
      </w:r>
    </w:p>
    <w:p w:rsidR="005F4536" w:rsidRPr="003E140D" w:rsidRDefault="005F4536" w:rsidP="005F4536"/>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378"/>
      </w:tblGrid>
      <w:tr w:rsidR="005F4536" w:rsidRPr="003E140D" w:rsidTr="00E07B87">
        <w:trPr>
          <w:trHeight w:val="1389"/>
          <w:jc w:val="center"/>
        </w:trPr>
        <w:tc>
          <w:tcPr>
            <w:tcW w:w="1985" w:type="dxa"/>
            <w:vAlign w:val="center"/>
          </w:tcPr>
          <w:p w:rsidR="005F4536" w:rsidRPr="003E140D" w:rsidRDefault="005F4536" w:rsidP="00E07B87">
            <w:pPr>
              <w:jc w:val="center"/>
              <w:rPr>
                <w:rFonts w:ascii="ＭＳ Ｐゴシック" w:eastAsia="ＭＳ Ｐゴシック" w:hAnsi="ＭＳ Ｐゴシック"/>
                <w:b/>
              </w:rPr>
            </w:pPr>
            <w:r w:rsidRPr="003E140D">
              <w:rPr>
                <w:rFonts w:ascii="ＭＳ Ｐゴシック" w:eastAsia="ＭＳ Ｐゴシック" w:hAnsi="ＭＳ Ｐゴシック" w:hint="eastAsia"/>
                <w:b/>
              </w:rPr>
              <w:t>経常的収支</w:t>
            </w:r>
          </w:p>
          <w:p w:rsidR="005F4536" w:rsidRPr="003E140D" w:rsidRDefault="005F4536" w:rsidP="00E07B87">
            <w:pPr>
              <w:jc w:val="center"/>
              <w:rPr>
                <w:rFonts w:ascii="ＭＳ Ｐゴシック" w:eastAsia="ＭＳ Ｐゴシック" w:hAnsi="ＭＳ Ｐゴシック"/>
                <w:b/>
              </w:rPr>
            </w:pPr>
            <w:r w:rsidRPr="003E140D">
              <w:rPr>
                <w:rFonts w:ascii="ＭＳ Ｐゴシック" w:eastAsia="ＭＳ Ｐゴシック" w:hAnsi="ＭＳ Ｐゴシック" w:hint="eastAsia"/>
                <w:b/>
              </w:rPr>
              <w:t>の部</w:t>
            </w:r>
          </w:p>
        </w:tc>
        <w:tc>
          <w:tcPr>
            <w:tcW w:w="6378" w:type="dxa"/>
            <w:vAlign w:val="center"/>
          </w:tcPr>
          <w:p w:rsidR="005F4536" w:rsidRPr="003E140D" w:rsidRDefault="005F4536" w:rsidP="00E07B87">
            <w:pPr>
              <w:rPr>
                <w:rFonts w:ascii="ＭＳ Ｐゴシック" w:eastAsia="ＭＳ Ｐゴシック" w:hAnsi="ＭＳ Ｐゴシック"/>
              </w:rPr>
            </w:pPr>
            <w:r w:rsidRPr="003E140D">
              <w:rPr>
                <w:rFonts w:ascii="ＭＳ Ｐゴシック" w:eastAsia="ＭＳ Ｐゴシック" w:hAnsi="ＭＳ Ｐゴシック" w:hint="eastAsia"/>
              </w:rPr>
              <w:t>人件費や物件費、社会保障給付など経常的な支出と、地方税や地方交付税などの収入の収支状況を表しています。ここでプラスになった分で、「公共資産整備収支の部」や「投資・財務的収支の部」を補っている構造となっています。</w:t>
            </w:r>
          </w:p>
        </w:tc>
      </w:tr>
      <w:tr w:rsidR="005F4536" w:rsidRPr="003E140D" w:rsidTr="00E07B87">
        <w:trPr>
          <w:trHeight w:val="800"/>
          <w:jc w:val="center"/>
        </w:trPr>
        <w:tc>
          <w:tcPr>
            <w:tcW w:w="1985" w:type="dxa"/>
            <w:vAlign w:val="center"/>
          </w:tcPr>
          <w:p w:rsidR="005F4536" w:rsidRPr="003E140D" w:rsidRDefault="005F4536" w:rsidP="00E07B87">
            <w:pPr>
              <w:jc w:val="center"/>
              <w:rPr>
                <w:rFonts w:ascii="ＭＳ Ｐゴシック" w:eastAsia="ＭＳ Ｐゴシック" w:hAnsi="ＭＳ Ｐゴシック"/>
                <w:b/>
              </w:rPr>
            </w:pPr>
            <w:r w:rsidRPr="003E140D">
              <w:rPr>
                <w:rFonts w:ascii="ＭＳ Ｐゴシック" w:eastAsia="ＭＳ Ｐゴシック" w:hAnsi="ＭＳ Ｐゴシック" w:hint="eastAsia"/>
                <w:b/>
              </w:rPr>
              <w:t>公共資産整備収支の部</w:t>
            </w:r>
          </w:p>
        </w:tc>
        <w:tc>
          <w:tcPr>
            <w:tcW w:w="6378" w:type="dxa"/>
            <w:vAlign w:val="center"/>
          </w:tcPr>
          <w:p w:rsidR="005F4536" w:rsidRPr="003E140D" w:rsidRDefault="005F4536" w:rsidP="00E07B87">
            <w:pPr>
              <w:rPr>
                <w:rFonts w:ascii="ＭＳ Ｐゴシック" w:eastAsia="ＭＳ Ｐゴシック" w:hAnsi="ＭＳ Ｐゴシック"/>
              </w:rPr>
            </w:pPr>
            <w:r w:rsidRPr="003E140D">
              <w:rPr>
                <w:rFonts w:ascii="ＭＳ Ｐゴシック" w:eastAsia="ＭＳ Ｐゴシック" w:hAnsi="ＭＳ Ｐゴシック" w:hint="eastAsia"/>
              </w:rPr>
              <w:t>公共資産の整備に係る支出と、その財源となった国や県の補助金や地方債などの収入の収支状況を表しています。</w:t>
            </w:r>
          </w:p>
        </w:tc>
      </w:tr>
      <w:tr w:rsidR="005F4536" w:rsidRPr="003E140D" w:rsidTr="00E07B87">
        <w:trPr>
          <w:trHeight w:val="1125"/>
          <w:jc w:val="center"/>
        </w:trPr>
        <w:tc>
          <w:tcPr>
            <w:tcW w:w="1985" w:type="dxa"/>
            <w:vAlign w:val="center"/>
          </w:tcPr>
          <w:p w:rsidR="005F4536" w:rsidRPr="003E140D" w:rsidRDefault="005F4536" w:rsidP="00E07B87">
            <w:pPr>
              <w:jc w:val="center"/>
              <w:rPr>
                <w:rFonts w:ascii="ＭＳ Ｐゴシック" w:eastAsia="ＭＳ Ｐゴシック" w:hAnsi="ＭＳ Ｐゴシック"/>
                <w:b/>
              </w:rPr>
            </w:pPr>
            <w:r w:rsidRPr="003E140D">
              <w:rPr>
                <w:rFonts w:ascii="ＭＳ Ｐゴシック" w:eastAsia="ＭＳ Ｐゴシック" w:hAnsi="ＭＳ Ｐゴシック" w:hint="eastAsia"/>
                <w:b/>
              </w:rPr>
              <w:t>投資・財務的収支の部</w:t>
            </w:r>
          </w:p>
        </w:tc>
        <w:tc>
          <w:tcPr>
            <w:tcW w:w="6378" w:type="dxa"/>
            <w:vAlign w:val="center"/>
          </w:tcPr>
          <w:p w:rsidR="005F4536" w:rsidRPr="003E140D" w:rsidRDefault="005F4536" w:rsidP="00E07B87">
            <w:pPr>
              <w:rPr>
                <w:rFonts w:ascii="ＭＳ Ｐゴシック" w:eastAsia="ＭＳ Ｐゴシック" w:hAnsi="ＭＳ Ｐゴシック"/>
              </w:rPr>
            </w:pPr>
            <w:r w:rsidRPr="003E140D">
              <w:rPr>
                <w:rFonts w:ascii="ＭＳ Ｐゴシック" w:eastAsia="ＭＳ Ｐゴシック" w:hAnsi="ＭＳ Ｐゴシック" w:hint="eastAsia"/>
              </w:rPr>
              <w:t>貸付金や地方債償還額などの支出と、貸付金回収金や地方債の償還に充当した使用料収入、公共資産等売却収入などの収入の収支状況を表しています。</w:t>
            </w:r>
          </w:p>
        </w:tc>
      </w:tr>
    </w:tbl>
    <w:p w:rsidR="005F4536" w:rsidRPr="003E140D" w:rsidRDefault="005F4536" w:rsidP="005F4536"/>
    <w:p w:rsidR="005F4536" w:rsidRPr="005F4536" w:rsidRDefault="005F4536" w:rsidP="005F4536">
      <w:pPr>
        <w:rPr>
          <w:rFonts w:ascii="ＭＳ ゴシック" w:eastAsia="ＭＳ ゴシック" w:hAnsi="ＭＳ ゴシック"/>
          <w:b/>
          <w:sz w:val="24"/>
        </w:rPr>
      </w:pPr>
      <w:r w:rsidRPr="005F4536">
        <w:rPr>
          <w:rFonts w:ascii="ＭＳ ゴシック" w:eastAsia="ＭＳ ゴシック" w:hAnsi="ＭＳ ゴシック" w:hint="eastAsia"/>
          <w:b/>
          <w:sz w:val="24"/>
        </w:rPr>
        <w:lastRenderedPageBreak/>
        <w:t>普通会計財務書類より読み取れること</w:t>
      </w:r>
    </w:p>
    <w:p w:rsidR="005F4536" w:rsidRPr="005F4536" w:rsidRDefault="005F4536" w:rsidP="005F4536">
      <w:pPr>
        <w:rPr>
          <w:rFonts w:ascii="ＭＳ ゴシック" w:eastAsia="ＭＳ ゴシック" w:hAnsi="ＭＳ ゴシック"/>
          <w:b/>
          <w:szCs w:val="22"/>
          <w:u w:val="double"/>
        </w:rPr>
      </w:pPr>
    </w:p>
    <w:p w:rsidR="005F4536" w:rsidRPr="005F4536" w:rsidRDefault="005F4536" w:rsidP="005F4536">
      <w:pPr>
        <w:rPr>
          <w:rFonts w:ascii="ＭＳ ゴシック" w:eastAsia="ＭＳ ゴシック" w:hAnsi="ＭＳ ゴシック"/>
          <w:szCs w:val="22"/>
          <w:u w:val="double"/>
        </w:rPr>
      </w:pPr>
      <w:r w:rsidRPr="005F4536">
        <w:rPr>
          <w:rFonts w:ascii="ＭＳ ゴシック" w:eastAsia="ＭＳ ゴシック" w:hAnsi="ＭＳ ゴシック" w:hint="eastAsia"/>
          <w:szCs w:val="22"/>
          <w:u w:val="double"/>
        </w:rPr>
        <w:t>１　社会資本形成の世代間負担比率</w:t>
      </w:r>
    </w:p>
    <w:p w:rsidR="005F4536" w:rsidRPr="005F4536" w:rsidRDefault="005F4536" w:rsidP="005F4536">
      <w:pPr>
        <w:ind w:left="210" w:hangingChars="100" w:hanging="210"/>
        <w:rPr>
          <w:rFonts w:ascii="ＭＳ 明朝" w:hAnsi="ＭＳ 明朝"/>
          <w:szCs w:val="22"/>
        </w:rPr>
      </w:pPr>
      <w:r w:rsidRPr="005F4536">
        <w:rPr>
          <w:rFonts w:hint="eastAsia"/>
          <w:szCs w:val="22"/>
        </w:rPr>
        <w:t xml:space="preserve">　</w:t>
      </w:r>
      <w:r w:rsidRPr="005F4536">
        <w:rPr>
          <w:rFonts w:ascii="ＭＳ 明朝" w:hAnsi="ＭＳ 明朝" w:hint="eastAsia"/>
          <w:szCs w:val="22"/>
        </w:rPr>
        <w:t xml:space="preserve">　社会資本形成の結果を表わす公共資産のうち、純資産による形成割合を見ることで、これまでの世代（過去及び現世代）によって既に負担された割合を見ることができます。</w:t>
      </w:r>
    </w:p>
    <w:p w:rsidR="005F4536" w:rsidRPr="005F4536" w:rsidRDefault="005F4536" w:rsidP="005F4536">
      <w:pPr>
        <w:ind w:left="210" w:hangingChars="100" w:hanging="210"/>
        <w:rPr>
          <w:rFonts w:ascii="ＭＳ 明朝" w:hAnsi="ＭＳ 明朝"/>
          <w:szCs w:val="22"/>
        </w:rPr>
      </w:pPr>
      <w:r w:rsidRPr="005F4536">
        <w:rPr>
          <w:rFonts w:ascii="ＭＳ 明朝" w:hAnsi="ＭＳ 明朝" w:hint="eastAsia"/>
          <w:szCs w:val="22"/>
        </w:rPr>
        <w:t xml:space="preserve">　　また、地方債に着目することで、将来返済しなければならない、将来世代が今後負担する割合を見ることができます。</w:t>
      </w:r>
    </w:p>
    <w:p w:rsidR="005F4536" w:rsidRPr="005F4536" w:rsidRDefault="005F4536" w:rsidP="005F4536">
      <w:pPr>
        <w:ind w:left="210" w:hangingChars="100" w:hanging="210"/>
        <w:rPr>
          <w:rFonts w:ascii="ＭＳ 明朝" w:hAnsi="ＭＳ 明朝"/>
          <w:szCs w:val="22"/>
        </w:rPr>
      </w:pPr>
      <w:r w:rsidRPr="005F4536">
        <w:rPr>
          <w:rFonts w:ascii="ＭＳ 明朝" w:hAnsi="ＭＳ 明朝" w:hint="eastAsia"/>
          <w:szCs w:val="22"/>
        </w:rPr>
        <w:t xml:space="preserve">　　平均的な値としては、過去及び現世代負担比率は50％～90％、将来世代負担比率は15％～40％です。</w:t>
      </w:r>
    </w:p>
    <w:p w:rsidR="005F4536" w:rsidRPr="005F4536" w:rsidRDefault="005F4536" w:rsidP="005F4536">
      <w:pPr>
        <w:ind w:left="210" w:hangingChars="100" w:hanging="210"/>
        <w:rPr>
          <w:rFonts w:ascii="ＭＳ 明朝" w:hAnsi="ＭＳ 明朝"/>
          <w:szCs w:val="22"/>
        </w:rPr>
      </w:pPr>
    </w:p>
    <w:p w:rsidR="005F4536" w:rsidRPr="005F4536" w:rsidRDefault="005F4536" w:rsidP="005F4536">
      <w:pPr>
        <w:ind w:left="210" w:hangingChars="100" w:hanging="210"/>
        <w:rPr>
          <w:rFonts w:ascii="ＭＳ 明朝" w:hAnsi="ＭＳ 明朝"/>
          <w:szCs w:val="22"/>
        </w:rPr>
      </w:pPr>
      <w:r w:rsidRPr="005F4536">
        <w:rPr>
          <w:rFonts w:ascii="ＭＳ 明朝" w:hAnsi="ＭＳ 明朝" w:hint="eastAsia"/>
          <w:szCs w:val="22"/>
        </w:rPr>
        <w:t xml:space="preserve">　　</w:t>
      </w:r>
      <w:r w:rsidRPr="005F4536">
        <w:rPr>
          <w:rFonts w:ascii="ＭＳ 明朝" w:hAnsi="ＭＳ 明朝" w:hint="eastAsia"/>
          <w:szCs w:val="22"/>
          <w:bdr w:val="single" w:sz="4" w:space="0" w:color="auto"/>
        </w:rPr>
        <w:t>・社会資本形成の過去及び現世代負担比率(％)＝純資産合計÷公共資産合計×100</w:t>
      </w:r>
    </w:p>
    <w:p w:rsidR="005F4536" w:rsidRPr="005F4536" w:rsidRDefault="005F4536" w:rsidP="005F4536">
      <w:pPr>
        <w:ind w:left="210" w:hangingChars="100" w:hanging="210"/>
        <w:rPr>
          <w:rFonts w:ascii="ＭＳ 明朝" w:hAnsi="ＭＳ 明朝"/>
          <w:szCs w:val="22"/>
          <w:bdr w:val="single" w:sz="4" w:space="0" w:color="auto"/>
        </w:rPr>
      </w:pPr>
      <w:r w:rsidRPr="005F4536">
        <w:rPr>
          <w:rFonts w:ascii="ＭＳ 明朝" w:hAnsi="ＭＳ 明朝" w:hint="eastAsia"/>
          <w:szCs w:val="22"/>
        </w:rPr>
        <w:t xml:space="preserve">　　</w:t>
      </w:r>
      <w:r w:rsidRPr="005F4536">
        <w:rPr>
          <w:rFonts w:ascii="ＭＳ 明朝" w:hAnsi="ＭＳ 明朝" w:hint="eastAsia"/>
          <w:szCs w:val="22"/>
          <w:bdr w:val="single" w:sz="4" w:space="0" w:color="auto"/>
        </w:rPr>
        <w:t>・社会資本形成の将来世代負担比率(％)＝地方債残高÷公共資産合計×100</w:t>
      </w:r>
    </w:p>
    <w:p w:rsidR="005F4536" w:rsidRPr="005F4536" w:rsidRDefault="005F4536" w:rsidP="005F4536">
      <w:pPr>
        <w:ind w:left="210" w:hangingChars="100" w:hanging="210"/>
        <w:rPr>
          <w:szCs w:val="22"/>
        </w:rPr>
      </w:pPr>
    </w:p>
    <w:p w:rsidR="005F4536" w:rsidRPr="005F4536" w:rsidRDefault="005F4536" w:rsidP="005F4536">
      <w:pPr>
        <w:ind w:left="210" w:hangingChars="100" w:hanging="210"/>
        <w:rPr>
          <w:szCs w:val="22"/>
        </w:rPr>
      </w:pPr>
      <w:r>
        <w:rPr>
          <w:noProof/>
          <w:szCs w:val="22"/>
        </w:rPr>
        <w:drawing>
          <wp:inline distT="0" distB="0" distL="0" distR="0">
            <wp:extent cx="5905500" cy="16954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1695450"/>
                    </a:xfrm>
                    <a:prstGeom prst="rect">
                      <a:avLst/>
                    </a:prstGeom>
                    <a:noFill/>
                    <a:ln>
                      <a:noFill/>
                    </a:ln>
                  </pic:spPr>
                </pic:pic>
              </a:graphicData>
            </a:graphic>
          </wp:inline>
        </w:drawing>
      </w:r>
    </w:p>
    <w:p w:rsidR="005F4536" w:rsidRPr="005F4536" w:rsidRDefault="005F4536" w:rsidP="005F4536">
      <w:pPr>
        <w:ind w:left="210" w:hangingChars="100" w:hanging="210"/>
        <w:rPr>
          <w:szCs w:val="22"/>
        </w:rPr>
      </w:pPr>
    </w:p>
    <w:p w:rsidR="005F4536" w:rsidRPr="005F4536" w:rsidRDefault="005F4536" w:rsidP="005F4536">
      <w:pPr>
        <w:rPr>
          <w:rFonts w:ascii="ＭＳ ゴシック" w:eastAsia="ＭＳ ゴシック" w:hAnsi="ＭＳ ゴシック"/>
          <w:szCs w:val="22"/>
          <w:u w:val="double"/>
        </w:rPr>
      </w:pPr>
      <w:r w:rsidRPr="005F4536">
        <w:rPr>
          <w:rFonts w:ascii="ＭＳ ゴシック" w:eastAsia="ＭＳ ゴシック" w:hAnsi="ＭＳ ゴシック" w:hint="eastAsia"/>
          <w:szCs w:val="22"/>
          <w:u w:val="double"/>
        </w:rPr>
        <w:t>２　歳入額対資産比率</w:t>
      </w:r>
    </w:p>
    <w:p w:rsidR="005F4536" w:rsidRPr="005F4536" w:rsidRDefault="005F4536" w:rsidP="005F4536">
      <w:pPr>
        <w:ind w:left="210" w:hangingChars="100" w:hanging="210"/>
        <w:rPr>
          <w:szCs w:val="22"/>
        </w:rPr>
      </w:pPr>
      <w:r w:rsidRPr="005F4536">
        <w:rPr>
          <w:rFonts w:hint="eastAsia"/>
          <w:szCs w:val="22"/>
        </w:rPr>
        <w:t xml:space="preserve">　　歳入総額に対する資産の比率を算定することにより、形成された資産は何年分の歳入が充当されたかを見ることができます。歳入総額が減少しつつ、歳入額対資産比率が増加している場合は注意が必要です。</w:t>
      </w:r>
    </w:p>
    <w:p w:rsidR="005F4536" w:rsidRPr="005F4536" w:rsidRDefault="005F4536" w:rsidP="005F4536">
      <w:pPr>
        <w:ind w:left="210" w:hangingChars="100" w:hanging="210"/>
        <w:rPr>
          <w:rFonts w:ascii="ＭＳ 明朝" w:hAnsi="ＭＳ 明朝"/>
          <w:szCs w:val="22"/>
        </w:rPr>
      </w:pPr>
      <w:r w:rsidRPr="005F4536">
        <w:rPr>
          <w:rFonts w:hint="eastAsia"/>
          <w:szCs w:val="22"/>
        </w:rPr>
        <w:t xml:space="preserve">　</w:t>
      </w:r>
      <w:r w:rsidRPr="005F4536">
        <w:rPr>
          <w:rFonts w:ascii="ＭＳ 明朝" w:hAnsi="ＭＳ 明朝" w:hint="eastAsia"/>
          <w:szCs w:val="22"/>
        </w:rPr>
        <w:t xml:space="preserve">　歳入額対資産比率の平均的な値は、3.0～7.0です。</w:t>
      </w:r>
    </w:p>
    <w:p w:rsidR="005F4536" w:rsidRPr="005F4536" w:rsidRDefault="005F4536" w:rsidP="005F4536">
      <w:pPr>
        <w:ind w:left="210" w:hangingChars="100" w:hanging="210"/>
        <w:rPr>
          <w:rFonts w:ascii="ＭＳ 明朝" w:hAnsi="ＭＳ 明朝"/>
          <w:szCs w:val="22"/>
        </w:rPr>
      </w:pPr>
    </w:p>
    <w:p w:rsidR="005F4536" w:rsidRPr="005F4536" w:rsidRDefault="005F4536" w:rsidP="005F4536">
      <w:pPr>
        <w:ind w:left="210" w:hangingChars="100" w:hanging="210"/>
        <w:rPr>
          <w:rFonts w:ascii="ＭＳ 明朝" w:hAnsi="ＭＳ 明朝"/>
          <w:szCs w:val="22"/>
        </w:rPr>
      </w:pPr>
      <w:r w:rsidRPr="005F4536">
        <w:rPr>
          <w:rFonts w:ascii="ＭＳ 明朝" w:hAnsi="ＭＳ 明朝" w:hint="eastAsia"/>
          <w:szCs w:val="22"/>
        </w:rPr>
        <w:t xml:space="preserve">　　</w:t>
      </w:r>
      <w:r w:rsidRPr="005F4536">
        <w:rPr>
          <w:rFonts w:ascii="ＭＳ 明朝" w:hAnsi="ＭＳ 明朝" w:hint="eastAsia"/>
          <w:szCs w:val="22"/>
          <w:bdr w:val="single" w:sz="4" w:space="0" w:color="auto"/>
        </w:rPr>
        <w:t>・歳入総額対資産比率＝資産合計÷歳入総額</w:t>
      </w:r>
    </w:p>
    <w:p w:rsidR="005F4536" w:rsidRPr="005F4536" w:rsidRDefault="005F4536" w:rsidP="005F4536">
      <w:pPr>
        <w:ind w:left="210" w:hangingChars="100" w:hanging="210"/>
        <w:rPr>
          <w:szCs w:val="22"/>
        </w:rPr>
      </w:pPr>
    </w:p>
    <w:p w:rsidR="005F4536" w:rsidRPr="005F4536" w:rsidRDefault="005F4536" w:rsidP="005F4536">
      <w:pPr>
        <w:ind w:left="210" w:hangingChars="100" w:hanging="210"/>
        <w:rPr>
          <w:szCs w:val="22"/>
        </w:rPr>
      </w:pPr>
      <w:r>
        <w:rPr>
          <w:noProof/>
          <w:szCs w:val="22"/>
        </w:rPr>
        <w:drawing>
          <wp:inline distT="0" distB="0" distL="0" distR="0">
            <wp:extent cx="5905500" cy="13906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1390650"/>
                    </a:xfrm>
                    <a:prstGeom prst="rect">
                      <a:avLst/>
                    </a:prstGeom>
                    <a:noFill/>
                    <a:ln>
                      <a:noFill/>
                    </a:ln>
                  </pic:spPr>
                </pic:pic>
              </a:graphicData>
            </a:graphic>
          </wp:inline>
        </w:drawing>
      </w:r>
    </w:p>
    <w:p w:rsidR="005F4536" w:rsidRPr="005F4536" w:rsidRDefault="005F4536" w:rsidP="005F4536">
      <w:pPr>
        <w:ind w:left="210" w:hangingChars="100" w:hanging="210"/>
        <w:rPr>
          <w:szCs w:val="22"/>
        </w:rPr>
      </w:pPr>
    </w:p>
    <w:p w:rsidR="005F4536" w:rsidRPr="005F4536" w:rsidRDefault="005F4536" w:rsidP="005F4536">
      <w:pPr>
        <w:ind w:left="210" w:hangingChars="100" w:hanging="210"/>
        <w:rPr>
          <w:szCs w:val="22"/>
        </w:rPr>
      </w:pPr>
    </w:p>
    <w:p w:rsidR="005F4536" w:rsidRPr="005F4536" w:rsidRDefault="005F4536" w:rsidP="005F4536">
      <w:pPr>
        <w:ind w:left="210" w:hangingChars="100" w:hanging="210"/>
        <w:rPr>
          <w:szCs w:val="22"/>
        </w:rPr>
      </w:pPr>
    </w:p>
    <w:p w:rsidR="005F4536" w:rsidRPr="005F4536" w:rsidRDefault="005F4536" w:rsidP="005F4536">
      <w:pPr>
        <w:rPr>
          <w:rFonts w:ascii="ＭＳ ゴシック" w:eastAsia="ＭＳ ゴシック" w:hAnsi="ＭＳ ゴシック"/>
          <w:szCs w:val="22"/>
          <w:u w:val="double"/>
        </w:rPr>
      </w:pPr>
      <w:r w:rsidRPr="005F4536">
        <w:rPr>
          <w:rFonts w:ascii="ＭＳ ゴシック" w:eastAsia="ＭＳ ゴシック" w:hAnsi="ＭＳ ゴシック" w:hint="eastAsia"/>
          <w:szCs w:val="22"/>
          <w:u w:val="double"/>
        </w:rPr>
        <w:t>３　行政コスト対税収等比率</w:t>
      </w:r>
    </w:p>
    <w:p w:rsidR="005F4536" w:rsidRPr="005F4536" w:rsidRDefault="005F4536" w:rsidP="005F4536">
      <w:pPr>
        <w:ind w:left="210" w:hangingChars="100" w:hanging="210"/>
        <w:rPr>
          <w:rFonts w:ascii="ＭＳ 明朝" w:hAnsi="ＭＳ 明朝"/>
          <w:szCs w:val="22"/>
        </w:rPr>
      </w:pPr>
      <w:r w:rsidRPr="005F4536">
        <w:rPr>
          <w:rFonts w:hint="eastAsia"/>
          <w:szCs w:val="22"/>
        </w:rPr>
        <w:t xml:space="preserve">　　</w:t>
      </w:r>
      <w:r w:rsidRPr="005F4536">
        <w:rPr>
          <w:rFonts w:ascii="ＭＳ 明朝" w:hAnsi="ＭＳ 明朝" w:hint="eastAsia"/>
          <w:szCs w:val="22"/>
        </w:rPr>
        <w:t>経常行政コストに対する一般財源等の比率を見ることによって、当年度に行われた行政サービスのコストから受益者負担分を除いた純経常行政コストに対して、どれだけが当年度の負担で賄われたかが分かります。</w:t>
      </w:r>
    </w:p>
    <w:p w:rsidR="005F4536" w:rsidRPr="005F4536" w:rsidRDefault="005F4536" w:rsidP="005F4536">
      <w:pPr>
        <w:ind w:left="210" w:hangingChars="100" w:hanging="210"/>
        <w:rPr>
          <w:rFonts w:ascii="ＭＳ 明朝" w:hAnsi="ＭＳ 明朝"/>
          <w:szCs w:val="22"/>
        </w:rPr>
      </w:pPr>
      <w:r w:rsidRPr="005F4536">
        <w:rPr>
          <w:rFonts w:ascii="ＭＳ 明朝" w:hAnsi="ＭＳ 明朝" w:hint="eastAsia"/>
          <w:szCs w:val="22"/>
        </w:rPr>
        <w:t xml:space="preserve">　　比率が100％を下回っている場合は、翌年度以降へ引き継ぐ資産が蓄積されたか、あるいは翌年度以降へ引き継ぐ負担が軽減されたこと（もしくはその両方）を表しています。</w:t>
      </w:r>
    </w:p>
    <w:p w:rsidR="005F4536" w:rsidRPr="005F4536" w:rsidRDefault="005F4536" w:rsidP="005F4536">
      <w:pPr>
        <w:ind w:left="210" w:hangingChars="100" w:hanging="210"/>
        <w:rPr>
          <w:rFonts w:ascii="ＭＳ 明朝" w:hAnsi="ＭＳ 明朝"/>
          <w:szCs w:val="22"/>
        </w:rPr>
      </w:pPr>
      <w:r w:rsidRPr="005F4536">
        <w:rPr>
          <w:rFonts w:ascii="ＭＳ 明朝" w:hAnsi="ＭＳ 明朝" w:hint="eastAsia"/>
          <w:szCs w:val="22"/>
        </w:rPr>
        <w:t xml:space="preserve">　　比率が100％を上回っている場合は、過去から蓄積された資産が取り崩されたか、あるいは翌年度以降へ引き継ぐ負担が増加したこと（もしくはその両方）表しています。</w:t>
      </w:r>
    </w:p>
    <w:p w:rsidR="005F4536" w:rsidRPr="005F4536" w:rsidRDefault="005F4536" w:rsidP="005F4536">
      <w:pPr>
        <w:ind w:left="210" w:hangingChars="100" w:hanging="210"/>
        <w:rPr>
          <w:rFonts w:ascii="ＭＳ 明朝" w:hAnsi="ＭＳ 明朝"/>
          <w:szCs w:val="22"/>
        </w:rPr>
      </w:pPr>
      <w:r w:rsidRPr="005F4536">
        <w:rPr>
          <w:rFonts w:ascii="ＭＳ 明朝" w:hAnsi="ＭＳ 明朝" w:hint="eastAsia"/>
          <w:szCs w:val="22"/>
        </w:rPr>
        <w:t xml:space="preserve">　　行政コスト対税収等比率の平均的な値は、90％～110％です。</w:t>
      </w:r>
    </w:p>
    <w:p w:rsidR="005F4536" w:rsidRPr="005F4536" w:rsidRDefault="005F4536" w:rsidP="005F4536">
      <w:pPr>
        <w:ind w:left="210" w:hangingChars="100" w:hanging="210"/>
        <w:rPr>
          <w:rFonts w:ascii="ＭＳ 明朝" w:hAnsi="ＭＳ 明朝"/>
          <w:szCs w:val="22"/>
        </w:rPr>
      </w:pPr>
    </w:p>
    <w:p w:rsidR="005F4536" w:rsidRPr="005F4536" w:rsidRDefault="005F4536" w:rsidP="005F4536">
      <w:pPr>
        <w:ind w:left="210" w:hangingChars="100" w:hanging="210"/>
        <w:rPr>
          <w:rFonts w:ascii="ＭＳ 明朝" w:hAnsi="ＭＳ 明朝"/>
          <w:szCs w:val="22"/>
        </w:rPr>
      </w:pPr>
      <w:r w:rsidRPr="005F4536">
        <w:rPr>
          <w:rFonts w:ascii="ＭＳ 明朝" w:hAnsi="ＭＳ 明朝" w:hint="eastAsia"/>
          <w:szCs w:val="22"/>
        </w:rPr>
        <w:t xml:space="preserve">　　</w:t>
      </w:r>
      <w:r w:rsidRPr="005F4536">
        <w:rPr>
          <w:rFonts w:ascii="ＭＳ 明朝" w:hAnsi="ＭＳ 明朝" w:hint="eastAsia"/>
          <w:szCs w:val="22"/>
          <w:bdr w:val="single" w:sz="4" w:space="0" w:color="auto"/>
        </w:rPr>
        <w:t>・行政コスト対税収等比率(％)＝純経常行政コスト÷(一般財源＋補助金等受入)×100</w:t>
      </w:r>
    </w:p>
    <w:p w:rsidR="005F4536" w:rsidRPr="005F4536" w:rsidRDefault="005F4536" w:rsidP="005F4536">
      <w:pPr>
        <w:ind w:left="210" w:hangingChars="100" w:hanging="210"/>
        <w:rPr>
          <w:rFonts w:ascii="ＭＳ 明朝" w:hAnsi="ＭＳ 明朝"/>
          <w:szCs w:val="22"/>
        </w:rPr>
      </w:pPr>
    </w:p>
    <w:p w:rsidR="005F4536" w:rsidRPr="005F4536" w:rsidRDefault="005F4536" w:rsidP="005F4536">
      <w:pPr>
        <w:ind w:left="210" w:hangingChars="100" w:hanging="210"/>
        <w:rPr>
          <w:rFonts w:ascii="ＭＳ 明朝" w:hAnsi="ＭＳ 明朝"/>
          <w:szCs w:val="22"/>
        </w:rPr>
      </w:pPr>
      <w:r>
        <w:rPr>
          <w:noProof/>
          <w:szCs w:val="22"/>
        </w:rPr>
        <w:drawing>
          <wp:inline distT="0" distB="0" distL="0" distR="0">
            <wp:extent cx="5905500" cy="17335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0" cy="1733550"/>
                    </a:xfrm>
                    <a:prstGeom prst="rect">
                      <a:avLst/>
                    </a:prstGeom>
                    <a:noFill/>
                    <a:ln>
                      <a:noFill/>
                    </a:ln>
                  </pic:spPr>
                </pic:pic>
              </a:graphicData>
            </a:graphic>
          </wp:inline>
        </w:drawing>
      </w:r>
    </w:p>
    <w:p w:rsidR="005F4536" w:rsidRPr="005F4536" w:rsidRDefault="005F4536" w:rsidP="005F4536">
      <w:pPr>
        <w:ind w:left="210" w:hangingChars="100" w:hanging="210"/>
        <w:rPr>
          <w:rFonts w:ascii="ＭＳ 明朝" w:hAnsi="ＭＳ 明朝"/>
          <w:szCs w:val="22"/>
        </w:rPr>
      </w:pPr>
    </w:p>
    <w:p w:rsidR="005F4536" w:rsidRPr="005F4536" w:rsidRDefault="005F4536" w:rsidP="005F4536">
      <w:pPr>
        <w:ind w:left="210" w:hangingChars="100" w:hanging="210"/>
        <w:rPr>
          <w:rFonts w:ascii="ＭＳ 明朝" w:hAnsi="ＭＳ 明朝"/>
          <w:szCs w:val="22"/>
        </w:rPr>
      </w:pPr>
    </w:p>
    <w:p w:rsidR="005F4536" w:rsidRPr="005F4536" w:rsidRDefault="005F4536" w:rsidP="005F4536">
      <w:pPr>
        <w:rPr>
          <w:rFonts w:ascii="ＭＳ ゴシック" w:eastAsia="ＭＳ ゴシック" w:hAnsi="ＭＳ ゴシック"/>
          <w:szCs w:val="22"/>
          <w:u w:val="double"/>
        </w:rPr>
      </w:pPr>
      <w:r w:rsidRPr="005F4536">
        <w:rPr>
          <w:rFonts w:ascii="ＭＳ ゴシック" w:eastAsia="ＭＳ ゴシック" w:hAnsi="ＭＳ ゴシック" w:hint="eastAsia"/>
          <w:szCs w:val="22"/>
          <w:u w:val="double"/>
        </w:rPr>
        <w:t>４　地方債の償還可能年数</w:t>
      </w:r>
    </w:p>
    <w:p w:rsidR="005F4536" w:rsidRPr="005F4536" w:rsidRDefault="005F4536" w:rsidP="005F4536">
      <w:pPr>
        <w:ind w:left="210" w:hangingChars="100" w:hanging="210"/>
        <w:rPr>
          <w:rFonts w:ascii="ＭＳ 明朝" w:hAnsi="ＭＳ 明朝"/>
          <w:szCs w:val="22"/>
        </w:rPr>
      </w:pPr>
      <w:r w:rsidRPr="005F4536">
        <w:rPr>
          <w:rFonts w:hint="eastAsia"/>
          <w:szCs w:val="22"/>
        </w:rPr>
        <w:t xml:space="preserve">　　</w:t>
      </w:r>
      <w:r w:rsidRPr="005F4536">
        <w:rPr>
          <w:rFonts w:ascii="ＭＳ 明朝" w:hAnsi="ＭＳ 明朝" w:hint="eastAsia"/>
          <w:szCs w:val="22"/>
        </w:rPr>
        <w:t>自治体の抱えている地方債を、経常的に確保できる歳入で返済した場合に何年で返済できるかを表す指標で、借金の多寡や債務返済能力を測る指標です。</w:t>
      </w:r>
    </w:p>
    <w:p w:rsidR="005F4536" w:rsidRPr="005F4536" w:rsidRDefault="005F4536" w:rsidP="005F4536">
      <w:pPr>
        <w:ind w:left="210" w:hangingChars="100" w:hanging="210"/>
        <w:rPr>
          <w:rFonts w:ascii="ＭＳ 明朝" w:hAnsi="ＭＳ 明朝"/>
          <w:szCs w:val="22"/>
        </w:rPr>
      </w:pPr>
      <w:r w:rsidRPr="005F4536">
        <w:rPr>
          <w:rFonts w:ascii="ＭＳ 明朝" w:hAnsi="ＭＳ 明朝" w:hint="eastAsia"/>
          <w:szCs w:val="22"/>
        </w:rPr>
        <w:t xml:space="preserve">　　地方債の償還可能年数の平均的な値は、3年～9年です。</w:t>
      </w:r>
    </w:p>
    <w:p w:rsidR="005F4536" w:rsidRPr="005F4536" w:rsidRDefault="005F4536" w:rsidP="005F4536">
      <w:pPr>
        <w:ind w:left="210" w:hangingChars="100" w:hanging="210"/>
        <w:rPr>
          <w:rFonts w:ascii="ＭＳ 明朝" w:hAnsi="ＭＳ 明朝"/>
          <w:szCs w:val="22"/>
        </w:rPr>
      </w:pPr>
    </w:p>
    <w:p w:rsidR="005F4536" w:rsidRPr="005F4536" w:rsidRDefault="005F4536" w:rsidP="005F4536">
      <w:pPr>
        <w:ind w:left="210" w:hangingChars="100" w:hanging="210"/>
        <w:rPr>
          <w:rFonts w:ascii="ＭＳ 明朝" w:hAnsi="ＭＳ 明朝"/>
          <w:szCs w:val="22"/>
          <w:bdr w:val="single" w:sz="4" w:space="0" w:color="auto"/>
        </w:rPr>
      </w:pPr>
      <w:r w:rsidRPr="005F4536">
        <w:rPr>
          <w:rFonts w:ascii="ＭＳ 明朝" w:hAnsi="ＭＳ 明朝" w:hint="eastAsia"/>
          <w:szCs w:val="22"/>
        </w:rPr>
        <w:t xml:space="preserve">　　</w:t>
      </w:r>
      <w:r w:rsidRPr="005F4536">
        <w:rPr>
          <w:rFonts w:ascii="ＭＳ 明朝" w:hAnsi="ＭＳ 明朝" w:hint="eastAsia"/>
          <w:szCs w:val="22"/>
          <w:bdr w:val="single" w:sz="4" w:space="0" w:color="auto"/>
        </w:rPr>
        <w:t>・地方債の償還可能年数(年)＝地方債残高÷経常的収支額(地方債発行額及び基金取崩額除く)</w:t>
      </w:r>
    </w:p>
    <w:p w:rsidR="005F4536" w:rsidRPr="005F4536" w:rsidRDefault="005F4536" w:rsidP="005F4536">
      <w:pPr>
        <w:ind w:left="210" w:hangingChars="100" w:hanging="210"/>
        <w:rPr>
          <w:rFonts w:ascii="ＭＳ 明朝" w:hAnsi="ＭＳ 明朝"/>
          <w:szCs w:val="22"/>
        </w:rPr>
      </w:pPr>
    </w:p>
    <w:p w:rsidR="005F4536" w:rsidRPr="005F4536" w:rsidRDefault="005F4536" w:rsidP="005F4536">
      <w:pPr>
        <w:ind w:left="210" w:hangingChars="100" w:hanging="210"/>
        <w:rPr>
          <w:rFonts w:ascii="ＭＳ 明朝" w:hAnsi="ＭＳ 明朝"/>
          <w:szCs w:val="22"/>
        </w:rPr>
      </w:pPr>
      <w:r>
        <w:rPr>
          <w:noProof/>
          <w:szCs w:val="22"/>
        </w:rPr>
        <w:drawing>
          <wp:inline distT="0" distB="0" distL="0" distR="0">
            <wp:extent cx="5562600" cy="18288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1828800"/>
                    </a:xfrm>
                    <a:prstGeom prst="rect">
                      <a:avLst/>
                    </a:prstGeom>
                    <a:noFill/>
                    <a:ln>
                      <a:noFill/>
                    </a:ln>
                  </pic:spPr>
                </pic:pic>
              </a:graphicData>
            </a:graphic>
          </wp:inline>
        </w:drawing>
      </w:r>
    </w:p>
    <w:sectPr w:rsidR="005F4536" w:rsidRPr="005F4536" w:rsidSect="005F4536">
      <w:pgSz w:w="11906" w:h="16838" w:code="9"/>
      <w:pgMar w:top="1134" w:right="991" w:bottom="170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084" w:rsidRDefault="00D61084" w:rsidP="009131BF">
      <w:r>
        <w:separator/>
      </w:r>
    </w:p>
  </w:endnote>
  <w:endnote w:type="continuationSeparator" w:id="0">
    <w:p w:rsidR="00D61084" w:rsidRDefault="00D61084" w:rsidP="0091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084" w:rsidRDefault="00D61084" w:rsidP="009131BF">
      <w:r>
        <w:separator/>
      </w:r>
    </w:p>
  </w:footnote>
  <w:footnote w:type="continuationSeparator" w:id="0">
    <w:p w:rsidR="00D61084" w:rsidRDefault="00D61084" w:rsidP="00913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7597"/>
    <w:multiLevelType w:val="hybridMultilevel"/>
    <w:tmpl w:val="E3FA6A7C"/>
    <w:lvl w:ilvl="0" w:tplc="882A50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EA43C75"/>
    <w:multiLevelType w:val="hybridMultilevel"/>
    <w:tmpl w:val="18CE1EC4"/>
    <w:lvl w:ilvl="0" w:tplc="882A50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0840FE3"/>
    <w:multiLevelType w:val="hybridMultilevel"/>
    <w:tmpl w:val="6D942E9A"/>
    <w:lvl w:ilvl="0" w:tplc="882A50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CF3C1E"/>
    <w:multiLevelType w:val="hybridMultilevel"/>
    <w:tmpl w:val="A78E9C44"/>
    <w:lvl w:ilvl="0" w:tplc="882A50D2">
      <w:start w:val="1"/>
      <w:numFmt w:val="decimalFullWidth"/>
      <w:lvlText w:val="（%1）"/>
      <w:lvlJc w:val="left"/>
      <w:pPr>
        <w:tabs>
          <w:tab w:val="num" w:pos="720"/>
        </w:tabs>
        <w:ind w:left="720" w:hanging="720"/>
      </w:pPr>
      <w:rPr>
        <w:rFonts w:hint="eastAsia"/>
      </w:rPr>
    </w:lvl>
    <w:lvl w:ilvl="1" w:tplc="5B0663F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A122D92"/>
    <w:multiLevelType w:val="hybridMultilevel"/>
    <w:tmpl w:val="1DC0D05C"/>
    <w:lvl w:ilvl="0" w:tplc="882A50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8695B56"/>
    <w:multiLevelType w:val="hybridMultilevel"/>
    <w:tmpl w:val="793A1F78"/>
    <w:lvl w:ilvl="0" w:tplc="882A50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1912770"/>
    <w:multiLevelType w:val="hybridMultilevel"/>
    <w:tmpl w:val="267004CE"/>
    <w:lvl w:ilvl="0" w:tplc="08C237A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28C2BBA"/>
    <w:multiLevelType w:val="hybridMultilevel"/>
    <w:tmpl w:val="AB267E7E"/>
    <w:lvl w:ilvl="0" w:tplc="882A50D2">
      <w:start w:val="1"/>
      <w:numFmt w:val="decimalFullWidth"/>
      <w:lvlText w:val="（%1）"/>
      <w:lvlJc w:val="left"/>
      <w:pPr>
        <w:tabs>
          <w:tab w:val="num" w:pos="720"/>
        </w:tabs>
        <w:ind w:left="720" w:hanging="720"/>
      </w:pPr>
      <w:rPr>
        <w:rFonts w:hint="eastAsia"/>
      </w:rPr>
    </w:lvl>
    <w:lvl w:ilvl="1" w:tplc="04020F5A">
      <w:start w:val="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2C924F3"/>
    <w:multiLevelType w:val="hybridMultilevel"/>
    <w:tmpl w:val="19C0309E"/>
    <w:lvl w:ilvl="0" w:tplc="DBD621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6D5724F"/>
    <w:multiLevelType w:val="multilevel"/>
    <w:tmpl w:val="6D942E9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615829F4"/>
    <w:multiLevelType w:val="hybridMultilevel"/>
    <w:tmpl w:val="629444D2"/>
    <w:lvl w:ilvl="0" w:tplc="882A50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8060ADB"/>
    <w:multiLevelType w:val="multilevel"/>
    <w:tmpl w:val="AB267E7E"/>
    <w:lvl w:ilvl="0">
      <w:start w:val="1"/>
      <w:numFmt w:val="decimalFullWidth"/>
      <w:lvlText w:val="（%1）"/>
      <w:lvlJc w:val="left"/>
      <w:pPr>
        <w:tabs>
          <w:tab w:val="num" w:pos="720"/>
        </w:tabs>
        <w:ind w:left="720" w:hanging="720"/>
      </w:pPr>
      <w:rPr>
        <w:rFonts w:hint="eastAsia"/>
      </w:rPr>
    </w:lvl>
    <w:lvl w:ilvl="1">
      <w:start w:val="6"/>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7E3F78AB"/>
    <w:multiLevelType w:val="hybridMultilevel"/>
    <w:tmpl w:val="4C0AB53C"/>
    <w:lvl w:ilvl="0" w:tplc="7D0CB68C">
      <w:start w:val="1"/>
      <w:numFmt w:val="decimalFullWidth"/>
      <w:lvlText w:val="（%1）"/>
      <w:lvlJc w:val="left"/>
      <w:pPr>
        <w:tabs>
          <w:tab w:val="num" w:pos="720"/>
        </w:tabs>
        <w:ind w:left="720" w:hanging="720"/>
      </w:pPr>
      <w:rPr>
        <w:rFonts w:hint="eastAsia"/>
      </w:rPr>
    </w:lvl>
    <w:lvl w:ilvl="1" w:tplc="5EC0720A">
      <w:start w:val="1"/>
      <w:numFmt w:val="decimalEnclosedCircle"/>
      <w:lvlText w:val="%2"/>
      <w:lvlJc w:val="left"/>
      <w:pPr>
        <w:tabs>
          <w:tab w:val="num" w:pos="780"/>
        </w:tabs>
        <w:ind w:left="780" w:hanging="360"/>
      </w:pPr>
      <w:rPr>
        <w:rFonts w:hint="eastAsia"/>
      </w:rPr>
    </w:lvl>
    <w:lvl w:ilvl="2" w:tplc="5A806738">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8"/>
  </w:num>
  <w:num w:numId="4">
    <w:abstractNumId w:val="7"/>
  </w:num>
  <w:num w:numId="5">
    <w:abstractNumId w:val="4"/>
  </w:num>
  <w:num w:numId="6">
    <w:abstractNumId w:val="0"/>
  </w:num>
  <w:num w:numId="7">
    <w:abstractNumId w:val="5"/>
  </w:num>
  <w:num w:numId="8">
    <w:abstractNumId w:val="10"/>
  </w:num>
  <w:num w:numId="9">
    <w:abstractNumId w:val="12"/>
  </w:num>
  <w:num w:numId="10">
    <w:abstractNumId w:val="11"/>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BF"/>
    <w:rsid w:val="002872F5"/>
    <w:rsid w:val="003D03FC"/>
    <w:rsid w:val="00450573"/>
    <w:rsid w:val="005F4536"/>
    <w:rsid w:val="0060681A"/>
    <w:rsid w:val="00690313"/>
    <w:rsid w:val="007C0D06"/>
    <w:rsid w:val="007E0BBA"/>
    <w:rsid w:val="00815008"/>
    <w:rsid w:val="009131BF"/>
    <w:rsid w:val="00940777"/>
    <w:rsid w:val="00983E13"/>
    <w:rsid w:val="009A0944"/>
    <w:rsid w:val="00A57EB9"/>
    <w:rsid w:val="00B5782D"/>
    <w:rsid w:val="00B8327B"/>
    <w:rsid w:val="00D61084"/>
    <w:rsid w:val="00FF7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A57EB9"/>
    <w:pPr>
      <w:tabs>
        <w:tab w:val="right" w:leader="dot" w:pos="8494"/>
      </w:tabs>
      <w:spacing w:before="120" w:after="120"/>
      <w:jc w:val="left"/>
    </w:pPr>
    <w:rPr>
      <w:b/>
      <w:caps/>
      <w:noProof/>
      <w:sz w:val="28"/>
      <w:szCs w:val="20"/>
    </w:rPr>
  </w:style>
  <w:style w:type="paragraph" w:styleId="a3">
    <w:name w:val="header"/>
    <w:basedOn w:val="a"/>
    <w:link w:val="a4"/>
    <w:uiPriority w:val="99"/>
    <w:unhideWhenUsed/>
    <w:rsid w:val="009131BF"/>
    <w:pPr>
      <w:tabs>
        <w:tab w:val="center" w:pos="4252"/>
        <w:tab w:val="right" w:pos="8504"/>
      </w:tabs>
      <w:snapToGrid w:val="0"/>
    </w:pPr>
  </w:style>
  <w:style w:type="character" w:customStyle="1" w:styleId="a4">
    <w:name w:val="ヘッダー (文字)"/>
    <w:basedOn w:val="a0"/>
    <w:link w:val="a3"/>
    <w:uiPriority w:val="99"/>
    <w:rsid w:val="009131BF"/>
    <w:rPr>
      <w:kern w:val="2"/>
      <w:sz w:val="21"/>
      <w:szCs w:val="24"/>
    </w:rPr>
  </w:style>
  <w:style w:type="paragraph" w:styleId="a5">
    <w:name w:val="footer"/>
    <w:basedOn w:val="a"/>
    <w:link w:val="a6"/>
    <w:uiPriority w:val="99"/>
    <w:unhideWhenUsed/>
    <w:rsid w:val="009131BF"/>
    <w:pPr>
      <w:tabs>
        <w:tab w:val="center" w:pos="4252"/>
        <w:tab w:val="right" w:pos="8504"/>
      </w:tabs>
      <w:snapToGrid w:val="0"/>
    </w:pPr>
  </w:style>
  <w:style w:type="character" w:customStyle="1" w:styleId="a6">
    <w:name w:val="フッター (文字)"/>
    <w:basedOn w:val="a0"/>
    <w:link w:val="a5"/>
    <w:uiPriority w:val="99"/>
    <w:rsid w:val="009131BF"/>
    <w:rPr>
      <w:kern w:val="2"/>
      <w:sz w:val="21"/>
      <w:szCs w:val="24"/>
    </w:rPr>
  </w:style>
  <w:style w:type="paragraph" w:customStyle="1" w:styleId="Default">
    <w:name w:val="Default"/>
    <w:rsid w:val="005F4536"/>
    <w:pPr>
      <w:widowControl w:val="0"/>
      <w:autoSpaceDE w:val="0"/>
      <w:autoSpaceDN w:val="0"/>
      <w:adjustRightInd w:val="0"/>
    </w:pPr>
    <w:rPr>
      <w:rFonts w:ascii="ＭＳ ゴシック" w:eastAsia="ＭＳ ゴシック" w:cs="ＭＳ ゴシック"/>
      <w:color w:val="000000"/>
      <w:sz w:val="24"/>
      <w:szCs w:val="24"/>
    </w:rPr>
  </w:style>
  <w:style w:type="paragraph" w:styleId="a7">
    <w:name w:val="Balloon Text"/>
    <w:basedOn w:val="a"/>
    <w:link w:val="a8"/>
    <w:uiPriority w:val="99"/>
    <w:semiHidden/>
    <w:unhideWhenUsed/>
    <w:rsid w:val="008150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500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A57EB9"/>
    <w:pPr>
      <w:tabs>
        <w:tab w:val="right" w:leader="dot" w:pos="8494"/>
      </w:tabs>
      <w:spacing w:before="120" w:after="120"/>
      <w:jc w:val="left"/>
    </w:pPr>
    <w:rPr>
      <w:b/>
      <w:caps/>
      <w:noProof/>
      <w:sz w:val="28"/>
      <w:szCs w:val="20"/>
    </w:rPr>
  </w:style>
  <w:style w:type="paragraph" w:styleId="a3">
    <w:name w:val="header"/>
    <w:basedOn w:val="a"/>
    <w:link w:val="a4"/>
    <w:uiPriority w:val="99"/>
    <w:unhideWhenUsed/>
    <w:rsid w:val="009131BF"/>
    <w:pPr>
      <w:tabs>
        <w:tab w:val="center" w:pos="4252"/>
        <w:tab w:val="right" w:pos="8504"/>
      </w:tabs>
      <w:snapToGrid w:val="0"/>
    </w:pPr>
  </w:style>
  <w:style w:type="character" w:customStyle="1" w:styleId="a4">
    <w:name w:val="ヘッダー (文字)"/>
    <w:basedOn w:val="a0"/>
    <w:link w:val="a3"/>
    <w:uiPriority w:val="99"/>
    <w:rsid w:val="009131BF"/>
    <w:rPr>
      <w:kern w:val="2"/>
      <w:sz w:val="21"/>
      <w:szCs w:val="24"/>
    </w:rPr>
  </w:style>
  <w:style w:type="paragraph" w:styleId="a5">
    <w:name w:val="footer"/>
    <w:basedOn w:val="a"/>
    <w:link w:val="a6"/>
    <w:uiPriority w:val="99"/>
    <w:unhideWhenUsed/>
    <w:rsid w:val="009131BF"/>
    <w:pPr>
      <w:tabs>
        <w:tab w:val="center" w:pos="4252"/>
        <w:tab w:val="right" w:pos="8504"/>
      </w:tabs>
      <w:snapToGrid w:val="0"/>
    </w:pPr>
  </w:style>
  <w:style w:type="character" w:customStyle="1" w:styleId="a6">
    <w:name w:val="フッター (文字)"/>
    <w:basedOn w:val="a0"/>
    <w:link w:val="a5"/>
    <w:uiPriority w:val="99"/>
    <w:rsid w:val="009131BF"/>
    <w:rPr>
      <w:kern w:val="2"/>
      <w:sz w:val="21"/>
      <w:szCs w:val="24"/>
    </w:rPr>
  </w:style>
  <w:style w:type="paragraph" w:customStyle="1" w:styleId="Default">
    <w:name w:val="Default"/>
    <w:rsid w:val="005F4536"/>
    <w:pPr>
      <w:widowControl w:val="0"/>
      <w:autoSpaceDE w:val="0"/>
      <w:autoSpaceDN w:val="0"/>
      <w:adjustRightInd w:val="0"/>
    </w:pPr>
    <w:rPr>
      <w:rFonts w:ascii="ＭＳ ゴシック" w:eastAsia="ＭＳ ゴシック" w:cs="ＭＳ ゴシック"/>
      <w:color w:val="000000"/>
      <w:sz w:val="24"/>
      <w:szCs w:val="24"/>
    </w:rPr>
  </w:style>
  <w:style w:type="paragraph" w:styleId="a7">
    <w:name w:val="Balloon Text"/>
    <w:basedOn w:val="a"/>
    <w:link w:val="a8"/>
    <w:uiPriority w:val="99"/>
    <w:semiHidden/>
    <w:unhideWhenUsed/>
    <w:rsid w:val="008150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50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3145</Words>
  <Characters>444</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南砺市総合公共交通計画（案）</vt:lpstr>
      <vt:lpstr>南砺市総合公共交通計画（案）</vt:lpstr>
    </vt:vector>
  </TitlesOfParts>
  <Company>北陸経済研究所</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南砺市総合公共交通計画（案）</dc:title>
  <dc:creator>石黒　厚子</dc:creator>
  <cp:lastModifiedBy> </cp:lastModifiedBy>
  <cp:revision>3</cp:revision>
  <cp:lastPrinted>2007-02-20T08:51:00Z</cp:lastPrinted>
  <dcterms:created xsi:type="dcterms:W3CDTF">2015-05-29T01:13:00Z</dcterms:created>
  <dcterms:modified xsi:type="dcterms:W3CDTF">2015-05-29T01:13:00Z</dcterms:modified>
</cp:coreProperties>
</file>