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E0F" w:rsidRPr="00127FD3" w:rsidRDefault="00373E0F" w:rsidP="00127FD3">
      <w:pPr>
        <w:kinsoku w:val="0"/>
        <w:overflowPunct w:val="0"/>
        <w:snapToGrid w:val="0"/>
        <w:spacing w:line="240" w:lineRule="auto"/>
        <w:ind w:firstLineChars="100" w:firstLine="240"/>
        <w:rPr>
          <w:rFonts w:ascii="ＭＳ ゴシック" w:eastAsia="ＭＳ ゴシック" w:hAnsi="ＭＳ ゴシック"/>
          <w:color w:val="0070C0"/>
          <w:szCs w:val="24"/>
        </w:rPr>
      </w:pPr>
      <w:r w:rsidRPr="006350DD">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Pr="00285984" w:rsidRDefault="00D406A2" w:rsidP="00285984">
      <w:pPr>
        <w:pStyle w:val="aa"/>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kern w:val="2"/>
          <w:szCs w:val="24"/>
        </w:rPr>
        <w:t xml:space="preserve"> </w:t>
      </w:r>
      <w:r w:rsidR="00373E0F" w:rsidRPr="00AB365F">
        <w:rPr>
          <w:rFonts w:ascii="ＭＳ ゴシック" w:eastAsia="ＭＳ ゴシック" w:hAnsi="ＭＳ ゴシック" w:hint="eastAsia"/>
          <w:kern w:val="2"/>
          <w:szCs w:val="24"/>
        </w:rPr>
        <w:t>歳出の状況</w:t>
      </w:r>
    </w:p>
    <w:p w:rsidR="00F810D6" w:rsidRPr="00B754F1"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E9457B">
        <w:rPr>
          <w:rFonts w:hAnsi="ＭＳ 明朝" w:hint="eastAsia"/>
          <w:szCs w:val="24"/>
        </w:rPr>
        <w:t>87,944,745</w:t>
      </w:r>
      <w:r w:rsidRPr="00654FC7">
        <w:rPr>
          <w:rFonts w:hAnsi="ＭＳ 明朝" w:hint="eastAsia"/>
          <w:szCs w:val="24"/>
        </w:rPr>
        <w:t>千円で、予算現額</w:t>
      </w:r>
      <w:r w:rsidR="00E9457B">
        <w:rPr>
          <w:rFonts w:hAnsi="ＭＳ 明朝" w:hint="eastAsia"/>
          <w:szCs w:val="24"/>
        </w:rPr>
        <w:t>96,565,688</w:t>
      </w:r>
      <w:r w:rsidRPr="00B754F1">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B754F1">
        <w:rPr>
          <w:rFonts w:hAnsi="ＭＳ 明朝" w:hint="eastAsia"/>
          <w:szCs w:val="24"/>
        </w:rPr>
        <w:t>執行率は</w:t>
      </w:r>
      <w:r w:rsidR="00BA089D" w:rsidRPr="00B754F1">
        <w:rPr>
          <w:rFonts w:hAnsi="ＭＳ 明朝" w:hint="eastAsia"/>
          <w:szCs w:val="24"/>
        </w:rPr>
        <w:t>9</w:t>
      </w:r>
      <w:r w:rsidR="0037653F">
        <w:rPr>
          <w:rFonts w:hAnsi="ＭＳ 明朝" w:hint="eastAsia"/>
          <w:szCs w:val="24"/>
        </w:rPr>
        <w:t>1</w:t>
      </w:r>
      <w:r w:rsidR="00C71DFC" w:rsidRPr="00B754F1">
        <w:rPr>
          <w:rFonts w:hAnsi="ＭＳ 明朝" w:hint="eastAsia"/>
          <w:szCs w:val="24"/>
        </w:rPr>
        <w:t>.</w:t>
      </w:r>
      <w:r w:rsidR="00E9457B">
        <w:rPr>
          <w:rFonts w:hAnsi="ＭＳ 明朝" w:hint="eastAsia"/>
          <w:szCs w:val="24"/>
        </w:rPr>
        <w:t>1</w:t>
      </w:r>
      <w:r w:rsidRPr="00B754F1">
        <w:rPr>
          <w:rFonts w:hAnsi="ＭＳ 明朝" w:hint="eastAsia"/>
          <w:szCs w:val="24"/>
        </w:rPr>
        <w:t>％(前年度</w:t>
      </w:r>
      <w:r w:rsidR="005014DE">
        <w:rPr>
          <w:rFonts w:hAnsi="ＭＳ 明朝" w:hint="eastAsia"/>
          <w:szCs w:val="24"/>
        </w:rPr>
        <w:t>91.6</w:t>
      </w:r>
      <w:r w:rsidRPr="00B754F1">
        <w:rPr>
          <w:rFonts w:hAnsi="ＭＳ 明朝" w:hint="eastAsia"/>
          <w:szCs w:val="24"/>
        </w:rPr>
        <w:t>％)</w:t>
      </w:r>
      <w:r w:rsidR="0076296C" w:rsidRPr="00B754F1">
        <w:rPr>
          <w:rFonts w:hAnsi="ＭＳ 明朝" w:hint="eastAsia"/>
          <w:szCs w:val="24"/>
        </w:rPr>
        <w:t>である</w:t>
      </w:r>
      <w:r w:rsidRPr="00B754F1">
        <w:rPr>
          <w:rFonts w:hAnsi="ＭＳ 明朝" w:hint="eastAsia"/>
          <w:szCs w:val="24"/>
        </w:rPr>
        <w:t>。</w:t>
      </w:r>
    </w:p>
    <w:p w:rsidR="003207B6" w:rsidRDefault="00373E0F" w:rsidP="003207B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支出済額は前年度に比べ</w:t>
      </w:r>
      <w:r w:rsidR="00EE4BC8">
        <w:rPr>
          <w:rFonts w:hAnsi="ＭＳ 明朝" w:hint="eastAsia"/>
          <w:szCs w:val="24"/>
        </w:rPr>
        <w:t>22,137,488</w:t>
      </w:r>
      <w:r w:rsidRPr="00654FC7">
        <w:rPr>
          <w:rFonts w:hAnsi="ＭＳ 明朝" w:hint="eastAsia"/>
          <w:szCs w:val="24"/>
        </w:rPr>
        <w:t>千円</w:t>
      </w:r>
      <w:r w:rsidR="007B5FC8">
        <w:rPr>
          <w:rFonts w:hAnsi="ＭＳ 明朝" w:hint="eastAsia"/>
          <w:szCs w:val="24"/>
        </w:rPr>
        <w:t>(</w:t>
      </w:r>
      <w:r w:rsidR="00EE4BC8">
        <w:rPr>
          <w:rFonts w:hAnsi="ＭＳ 明朝" w:hint="eastAsia"/>
          <w:szCs w:val="24"/>
        </w:rPr>
        <w:t>33.6</w:t>
      </w:r>
      <w:r w:rsidRPr="00654FC7">
        <w:rPr>
          <w:rFonts w:hAnsi="ＭＳ 明朝" w:hint="eastAsia"/>
          <w:szCs w:val="24"/>
        </w:rPr>
        <w:t>％)</w:t>
      </w:r>
      <w:r w:rsidR="00EE4BC8">
        <w:rPr>
          <w:rFonts w:hAnsi="ＭＳ 明朝" w:hint="eastAsia"/>
          <w:szCs w:val="24"/>
        </w:rPr>
        <w:t>増加</w:t>
      </w:r>
      <w:r w:rsidRPr="00654FC7">
        <w:rPr>
          <w:rFonts w:hAnsi="ＭＳ 明朝" w:hint="eastAsia"/>
          <w:szCs w:val="24"/>
        </w:rPr>
        <w:t>している。</w:t>
      </w:r>
      <w:r w:rsidR="00935FFA" w:rsidRPr="00B177E8">
        <w:rPr>
          <w:rFonts w:hAnsi="ＭＳ 明朝" w:hint="eastAsia"/>
          <w:szCs w:val="24"/>
        </w:rPr>
        <w:t>これは主に</w:t>
      </w:r>
      <w:r w:rsidR="00F810D6" w:rsidRPr="00B177E8">
        <w:rPr>
          <w:rFonts w:hAnsi="ＭＳ 明朝" w:hint="eastAsia"/>
          <w:szCs w:val="24"/>
        </w:rPr>
        <w:t>、</w:t>
      </w:r>
    </w:p>
    <w:p w:rsidR="006331D4" w:rsidRDefault="000D614E" w:rsidP="003207B6">
      <w:pPr>
        <w:kinsoku w:val="0"/>
        <w:overflowPunct w:val="0"/>
        <w:snapToGrid w:val="0"/>
        <w:spacing w:line="240" w:lineRule="auto"/>
        <w:ind w:leftChars="300" w:left="720"/>
        <w:rPr>
          <w:rFonts w:hAnsi="ＭＳ 明朝"/>
          <w:szCs w:val="24"/>
        </w:rPr>
      </w:pPr>
      <w:r w:rsidRPr="007B0AD8">
        <w:rPr>
          <w:rFonts w:hAnsi="ＭＳ 明朝" w:hint="eastAsia"/>
          <w:szCs w:val="24"/>
        </w:rPr>
        <w:t>教育費で156,113千円(△2.8％)、農林水産業費で61,356千円(△6.3％)減少したものの、総務</w:t>
      </w:r>
      <w:r w:rsidR="00B177E8" w:rsidRPr="007B0AD8">
        <w:rPr>
          <w:rFonts w:hAnsi="ＭＳ 明朝" w:hint="eastAsia"/>
          <w:szCs w:val="24"/>
        </w:rPr>
        <w:t>費</w:t>
      </w:r>
      <w:r w:rsidR="0076296C" w:rsidRPr="007B0AD8">
        <w:rPr>
          <w:rFonts w:hAnsi="ＭＳ 明朝" w:hint="eastAsia"/>
          <w:szCs w:val="24"/>
        </w:rPr>
        <w:t>で</w:t>
      </w:r>
      <w:r w:rsidRPr="007B0AD8">
        <w:rPr>
          <w:rFonts w:hAnsi="ＭＳ 明朝" w:hint="eastAsia"/>
          <w:szCs w:val="24"/>
        </w:rPr>
        <w:t>19,747,032</w:t>
      </w:r>
      <w:r w:rsidR="0076296C" w:rsidRPr="007B0AD8">
        <w:rPr>
          <w:rFonts w:hAnsi="ＭＳ 明朝" w:hint="eastAsia"/>
          <w:szCs w:val="24"/>
        </w:rPr>
        <w:t>千円</w:t>
      </w:r>
      <w:r w:rsidR="00B177E8" w:rsidRPr="007B0AD8">
        <w:rPr>
          <w:rFonts w:hAnsi="ＭＳ 明朝" w:hint="eastAsia"/>
          <w:szCs w:val="24"/>
        </w:rPr>
        <w:t>(</w:t>
      </w:r>
      <w:r w:rsidRPr="007B0AD8">
        <w:rPr>
          <w:rFonts w:hAnsi="ＭＳ 明朝" w:hint="eastAsia"/>
          <w:szCs w:val="24"/>
        </w:rPr>
        <w:t>336.7</w:t>
      </w:r>
      <w:r w:rsidR="0076296C" w:rsidRPr="007B0AD8">
        <w:rPr>
          <w:rFonts w:hAnsi="ＭＳ 明朝" w:hint="eastAsia"/>
          <w:szCs w:val="24"/>
        </w:rPr>
        <w:t>％)</w:t>
      </w:r>
      <w:r w:rsidR="00B177E8" w:rsidRPr="007B0AD8">
        <w:rPr>
          <w:rFonts w:hAnsi="ＭＳ 明朝" w:hint="eastAsia"/>
          <w:szCs w:val="24"/>
        </w:rPr>
        <w:t>、</w:t>
      </w:r>
      <w:r w:rsidRPr="007B0AD8">
        <w:rPr>
          <w:rFonts w:hAnsi="ＭＳ 明朝" w:hint="eastAsia"/>
          <w:szCs w:val="24"/>
        </w:rPr>
        <w:t>土木</w:t>
      </w:r>
      <w:r w:rsidR="00B177E8" w:rsidRPr="007B0AD8">
        <w:rPr>
          <w:rFonts w:hAnsi="ＭＳ 明朝" w:hint="eastAsia"/>
          <w:szCs w:val="24"/>
        </w:rPr>
        <w:t>費</w:t>
      </w:r>
      <w:r w:rsidR="0076296C" w:rsidRPr="007B0AD8">
        <w:rPr>
          <w:rFonts w:hAnsi="ＭＳ 明朝" w:hint="eastAsia"/>
          <w:szCs w:val="24"/>
        </w:rPr>
        <w:t>で</w:t>
      </w:r>
      <w:r w:rsidRPr="007B0AD8">
        <w:rPr>
          <w:rFonts w:hAnsi="ＭＳ 明朝" w:hint="eastAsia"/>
          <w:szCs w:val="24"/>
        </w:rPr>
        <w:t>1,024,781</w:t>
      </w:r>
      <w:r w:rsidR="0076296C" w:rsidRPr="007B0AD8">
        <w:rPr>
          <w:rFonts w:hAnsi="ＭＳ 明朝" w:hint="eastAsia"/>
          <w:szCs w:val="24"/>
        </w:rPr>
        <w:t>千円</w:t>
      </w:r>
      <w:r w:rsidR="00B177E8" w:rsidRPr="007B0AD8">
        <w:rPr>
          <w:rFonts w:hAnsi="ＭＳ 明朝" w:hint="eastAsia"/>
          <w:szCs w:val="24"/>
        </w:rPr>
        <w:t>(</w:t>
      </w:r>
      <w:r w:rsidRPr="007B0AD8">
        <w:rPr>
          <w:rFonts w:hAnsi="ＭＳ 明朝" w:hint="eastAsia"/>
          <w:szCs w:val="24"/>
        </w:rPr>
        <w:t>12.5</w:t>
      </w:r>
      <w:r w:rsidR="0076296C" w:rsidRPr="007B0AD8">
        <w:rPr>
          <w:rFonts w:hAnsi="ＭＳ 明朝" w:hint="eastAsia"/>
          <w:szCs w:val="24"/>
        </w:rPr>
        <w:t>％)</w:t>
      </w:r>
      <w:r w:rsidRPr="007B0AD8">
        <w:rPr>
          <w:rFonts w:hAnsi="ＭＳ 明朝" w:hint="eastAsia"/>
          <w:szCs w:val="24"/>
        </w:rPr>
        <w:t>増加した</w:t>
      </w:r>
      <w:r w:rsidR="005552A3" w:rsidRPr="007B0AD8">
        <w:rPr>
          <w:rFonts w:hAnsi="ＭＳ 明朝" w:hint="eastAsia"/>
          <w:szCs w:val="24"/>
        </w:rPr>
        <w:t>ことに</w:t>
      </w:r>
      <w:r w:rsidR="005552A3" w:rsidRPr="00D91F67">
        <w:rPr>
          <w:rFonts w:hAnsi="ＭＳ 明朝" w:hint="eastAsia"/>
          <w:szCs w:val="24"/>
        </w:rPr>
        <w:t>よるものである。</w:t>
      </w:r>
    </w:p>
    <w:p w:rsidR="005552A3" w:rsidRDefault="006C48CB" w:rsidP="006331D4">
      <w:pPr>
        <w:kinsoku w:val="0"/>
        <w:overflowPunct w:val="0"/>
        <w:snapToGrid w:val="0"/>
        <w:spacing w:line="240" w:lineRule="auto"/>
        <w:ind w:leftChars="300" w:left="720" w:firstLineChars="100" w:firstLine="240"/>
        <w:rPr>
          <w:rFonts w:hAnsi="ＭＳ 明朝"/>
          <w:szCs w:val="24"/>
        </w:rPr>
      </w:pPr>
      <w:r w:rsidRPr="009268DF">
        <w:rPr>
          <w:rFonts w:hAnsi="ＭＳ 明朝" w:hint="eastAsia"/>
          <w:szCs w:val="24"/>
        </w:rPr>
        <w:t>公債費</w:t>
      </w:r>
      <w:r w:rsidR="007D0816" w:rsidRPr="009268DF">
        <w:rPr>
          <w:rFonts w:hAnsi="ＭＳ 明朝" w:hint="eastAsia"/>
          <w:szCs w:val="24"/>
        </w:rPr>
        <w:t>の支出済額は</w:t>
      </w:r>
      <w:r w:rsidRPr="009268DF">
        <w:rPr>
          <w:rFonts w:hAnsi="ＭＳ 明朝" w:hint="eastAsia"/>
          <w:szCs w:val="24"/>
        </w:rPr>
        <w:t>10,701,813千円で</w:t>
      </w:r>
      <w:r w:rsidR="007D0816" w:rsidRPr="009268DF">
        <w:rPr>
          <w:rFonts w:hAnsi="ＭＳ 明朝" w:hint="eastAsia"/>
          <w:szCs w:val="24"/>
        </w:rPr>
        <w:t>、</w:t>
      </w:r>
      <w:r w:rsidRPr="009268DF">
        <w:rPr>
          <w:rFonts w:hAnsi="ＭＳ 明朝" w:hint="eastAsia"/>
          <w:szCs w:val="24"/>
        </w:rPr>
        <w:t>このうち</w:t>
      </w:r>
      <w:r w:rsidR="003412B0" w:rsidRPr="009268DF">
        <w:rPr>
          <w:rFonts w:hAnsi="ＭＳ 明朝" w:hint="eastAsia"/>
          <w:szCs w:val="24"/>
        </w:rPr>
        <w:t>借換債</w:t>
      </w:r>
      <w:r w:rsidR="005563E9" w:rsidRPr="009268DF">
        <w:rPr>
          <w:rFonts w:hAnsi="ＭＳ 明朝" w:hint="eastAsia"/>
          <w:szCs w:val="24"/>
        </w:rPr>
        <w:t>発行に伴う元金償還額</w:t>
      </w:r>
      <w:r w:rsidR="000D614E" w:rsidRPr="009268DF">
        <w:rPr>
          <w:rFonts w:hAnsi="ＭＳ 明朝" w:hint="eastAsia"/>
          <w:szCs w:val="24"/>
        </w:rPr>
        <w:t>1,415,000</w:t>
      </w:r>
      <w:r w:rsidR="0076296C" w:rsidRPr="009268DF">
        <w:rPr>
          <w:rFonts w:hAnsi="ＭＳ 明朝" w:hint="eastAsia"/>
          <w:szCs w:val="24"/>
        </w:rPr>
        <w:t>千円を除いた</w:t>
      </w:r>
      <w:r w:rsidR="00C1598A" w:rsidRPr="009268DF">
        <w:rPr>
          <w:rFonts w:hAnsi="ＭＳ 明朝" w:hint="eastAsia"/>
          <w:szCs w:val="24"/>
        </w:rPr>
        <w:t>額</w:t>
      </w:r>
      <w:r w:rsidR="006D047F" w:rsidRPr="009268DF">
        <w:rPr>
          <w:rFonts w:hAnsi="ＭＳ 明朝" w:hint="eastAsia"/>
          <w:szCs w:val="24"/>
        </w:rPr>
        <w:t>は</w:t>
      </w:r>
      <w:r w:rsidR="000D614E" w:rsidRPr="009268DF">
        <w:rPr>
          <w:rFonts w:hAnsi="ＭＳ 明朝" w:hint="eastAsia"/>
          <w:szCs w:val="24"/>
        </w:rPr>
        <w:t>9,286,813</w:t>
      </w:r>
      <w:r w:rsidR="00A07F3F" w:rsidRPr="009268DF">
        <w:rPr>
          <w:rFonts w:hAnsi="ＭＳ 明朝" w:hint="eastAsia"/>
          <w:szCs w:val="24"/>
        </w:rPr>
        <w:t>千円で、前年度</w:t>
      </w:r>
      <w:r w:rsidR="004873C2" w:rsidRPr="009268DF">
        <w:rPr>
          <w:rFonts w:hAnsi="ＭＳ 明朝" w:hint="eastAsia"/>
          <w:szCs w:val="24"/>
        </w:rPr>
        <w:t>に比べ</w:t>
      </w:r>
      <w:r w:rsidR="000D614E" w:rsidRPr="009268DF">
        <w:rPr>
          <w:rFonts w:hAnsi="ＭＳ 明朝" w:hint="eastAsia"/>
          <w:szCs w:val="24"/>
        </w:rPr>
        <w:t>317,802</w:t>
      </w:r>
      <w:r w:rsidR="00A07F3F" w:rsidRPr="009268DF">
        <w:rPr>
          <w:rFonts w:hAnsi="ＭＳ 明朝" w:hint="eastAsia"/>
          <w:szCs w:val="24"/>
        </w:rPr>
        <w:t>千円</w:t>
      </w:r>
      <w:r w:rsidR="00B47237" w:rsidRPr="009268DF">
        <w:rPr>
          <w:rFonts w:hAnsi="ＭＳ 明朝" w:hint="eastAsia"/>
          <w:szCs w:val="24"/>
        </w:rPr>
        <w:t>(</w:t>
      </w:r>
      <w:r w:rsidR="000D614E" w:rsidRPr="009268DF">
        <w:rPr>
          <w:rFonts w:hAnsi="ＭＳ 明朝" w:hint="eastAsia"/>
          <w:szCs w:val="24"/>
        </w:rPr>
        <w:t>3.5</w:t>
      </w:r>
      <w:r w:rsidR="00C1598A" w:rsidRPr="009268DF">
        <w:rPr>
          <w:rFonts w:hAnsi="ＭＳ 明朝" w:hint="eastAsia"/>
          <w:szCs w:val="24"/>
        </w:rPr>
        <w:t>％）</w:t>
      </w:r>
      <w:r w:rsidR="000D614E" w:rsidRPr="009268DF">
        <w:rPr>
          <w:rFonts w:hAnsi="ＭＳ 明朝" w:hint="eastAsia"/>
          <w:szCs w:val="24"/>
        </w:rPr>
        <w:t>増加</w:t>
      </w:r>
      <w:r w:rsidR="00C1598A" w:rsidRPr="009268DF">
        <w:rPr>
          <w:rFonts w:hAnsi="ＭＳ 明朝" w:hint="eastAsia"/>
          <w:szCs w:val="24"/>
        </w:rPr>
        <w:t>している。</w:t>
      </w:r>
      <w:r w:rsidR="007D28B6">
        <w:rPr>
          <w:rFonts w:hAnsi="ＭＳ 明朝" w:hint="eastAsia"/>
          <w:szCs w:val="24"/>
        </w:rPr>
        <w:t>これは、長期債の利子償還額が減少したものの、繰上償還</w:t>
      </w:r>
      <w:r w:rsidR="00F97589" w:rsidRPr="00B068C1">
        <w:rPr>
          <w:rFonts w:hAnsi="ＭＳ 明朝" w:hint="eastAsia"/>
          <w:szCs w:val="24"/>
        </w:rPr>
        <w:t>等</w:t>
      </w:r>
      <w:r w:rsidR="00527197" w:rsidRPr="00B068C1">
        <w:rPr>
          <w:rFonts w:hAnsi="ＭＳ 明朝" w:hint="eastAsia"/>
          <w:szCs w:val="24"/>
        </w:rPr>
        <w:t>により</w:t>
      </w:r>
      <w:r w:rsidR="009268DF">
        <w:rPr>
          <w:rFonts w:hAnsi="ＭＳ 明朝" w:hint="eastAsia"/>
          <w:szCs w:val="24"/>
        </w:rPr>
        <w:t>長期債の</w:t>
      </w:r>
      <w:r w:rsidR="006D047F" w:rsidRPr="009268DF">
        <w:rPr>
          <w:rFonts w:hAnsi="ＭＳ 明朝" w:hint="eastAsia"/>
          <w:szCs w:val="24"/>
        </w:rPr>
        <w:t>元金償還額が増加したことによるものである。</w:t>
      </w:r>
    </w:p>
    <w:p w:rsidR="00D932C5" w:rsidRPr="006144E8" w:rsidRDefault="00D932C5" w:rsidP="00D932C5">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0D614E" w:rsidP="00940888">
      <w:pPr>
        <w:kinsoku w:val="0"/>
        <w:overflowPunct w:val="0"/>
        <w:snapToGrid w:val="0"/>
        <w:spacing w:line="240" w:lineRule="auto"/>
        <w:jc w:val="center"/>
        <w:rPr>
          <w:rFonts w:ascii="ＭＳ ゴシック" w:eastAsia="ＭＳ ゴシック" w:hAnsi="ＭＳ ゴシック"/>
          <w:bCs/>
          <w:szCs w:val="24"/>
        </w:rPr>
      </w:pPr>
      <w:r>
        <w:rPr>
          <w:rFonts w:ascii="ＭＳ ゴシック" w:eastAsia="ＭＳ ゴシック" w:hAnsi="ＭＳ ゴシック" w:hint="eastAsia"/>
          <w:bCs/>
          <w:szCs w:val="24"/>
        </w:rPr>
        <w:t>令和２</w:t>
      </w:r>
      <w:r w:rsidR="00DD0C22" w:rsidRPr="001A47BF">
        <w:rPr>
          <w:rFonts w:ascii="ＭＳ ゴシック" w:eastAsia="ＭＳ ゴシック" w:hAnsi="ＭＳ ゴシック"/>
          <w:bCs/>
          <w:szCs w:val="24"/>
        </w:rPr>
        <w:t>年度</w:t>
      </w:r>
      <w:r w:rsidR="00373E0F" w:rsidRPr="001A47BF">
        <w:rPr>
          <w:rFonts w:ascii="ＭＳ ゴシック" w:eastAsia="ＭＳ ゴシック" w:hAnsi="ＭＳ ゴシック" w:hint="eastAsia"/>
          <w:bCs/>
          <w:szCs w:val="24"/>
        </w:rPr>
        <w:t>歳出</w:t>
      </w:r>
      <w:r w:rsidR="00DD0C22" w:rsidRPr="001A47BF">
        <w:rPr>
          <w:rFonts w:ascii="ＭＳ ゴシック" w:eastAsia="ＭＳ ゴシック" w:hAnsi="ＭＳ ゴシック"/>
          <w:bCs/>
          <w:szCs w:val="24"/>
        </w:rPr>
        <w:t xml:space="preserve">決算額　</w:t>
      </w:r>
      <w:r>
        <w:rPr>
          <w:rFonts w:ascii="ＭＳ ゴシック" w:eastAsia="ＭＳ ゴシック" w:hAnsi="ＭＳ ゴシック" w:hint="eastAsia"/>
          <w:bCs/>
          <w:szCs w:val="24"/>
        </w:rPr>
        <w:t>87,944,745</w:t>
      </w:r>
      <w:r w:rsidR="00DD0C22" w:rsidRPr="00B177E8">
        <w:rPr>
          <w:rFonts w:ascii="ＭＳ ゴシック" w:eastAsia="ＭＳ ゴシック" w:hAnsi="ＭＳ ゴシック"/>
          <w:bCs/>
          <w:szCs w:val="24"/>
        </w:rPr>
        <w:t>千円</w:t>
      </w:r>
    </w:p>
    <w:p w:rsidR="003E7FE5" w:rsidRPr="00940888" w:rsidRDefault="00E75789" w:rsidP="004C2A49">
      <w:pPr>
        <w:spacing w:line="240" w:lineRule="auto"/>
        <w:jc w:val="right"/>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307AE">
        <w:rPr>
          <w:rFonts w:hAnsi="ＭＳ 明朝" w:hint="eastAsia"/>
          <w:szCs w:val="24"/>
        </w:rPr>
        <w:t xml:space="preserve">                        </w:t>
      </w:r>
      <w:r w:rsidR="00811C79">
        <w:rPr>
          <w:rFonts w:hAnsi="ＭＳ 明朝" w:hint="eastAsia"/>
          <w:szCs w:val="24"/>
        </w:rPr>
        <w:t xml:space="preserve">                              </w:t>
      </w:r>
      <w:r w:rsidR="004C2A49" w:rsidRPr="004C2A49">
        <w:rPr>
          <w:rFonts w:hAnsi="ＭＳ 明朝" w:hint="eastAsia"/>
          <w:sz w:val="20"/>
          <w:szCs w:val="22"/>
        </w:rPr>
        <w:t>(注)</w:t>
      </w:r>
      <w:r w:rsidR="00940888" w:rsidRPr="004C2A49">
        <w:rPr>
          <w:rFonts w:hAnsi="ＭＳ 明朝" w:hint="eastAsia"/>
          <w:sz w:val="20"/>
          <w:szCs w:val="22"/>
        </w:rPr>
        <w:t xml:space="preserve">　(　)内は、</w:t>
      </w:r>
      <w:r w:rsidR="000D614E">
        <w:rPr>
          <w:rFonts w:hAnsi="ＭＳ 明朝" w:hint="eastAsia"/>
          <w:sz w:val="20"/>
          <w:szCs w:val="22"/>
        </w:rPr>
        <w:t>令和元</w:t>
      </w:r>
      <w:r w:rsidR="00940888" w:rsidRPr="004C2A49">
        <w:rPr>
          <w:rFonts w:hAnsi="ＭＳ 明朝" w:hint="eastAsia"/>
          <w:sz w:val="20"/>
          <w:szCs w:val="22"/>
        </w:rPr>
        <w:t>年度数値</w:t>
      </w:r>
    </w:p>
    <w:p w:rsidR="000307AE" w:rsidRPr="00811C79"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AD7A36" w:rsidRDefault="00AD7A36" w:rsidP="000307AE">
      <w:pPr>
        <w:kinsoku w:val="0"/>
        <w:overflowPunct w:val="0"/>
        <w:snapToGrid w:val="0"/>
        <w:spacing w:line="240" w:lineRule="auto"/>
        <w:rPr>
          <w:rFonts w:ascii="ＭＳ ゴシック" w:eastAsia="ＭＳ ゴシック" w:hAnsi="ＭＳ ゴシック"/>
          <w:szCs w:val="24"/>
        </w:rPr>
      </w:pPr>
    </w:p>
    <w:p w:rsidR="004873C2" w:rsidRPr="002924D7" w:rsidRDefault="004873C2" w:rsidP="000307AE">
      <w:pPr>
        <w:kinsoku w:val="0"/>
        <w:overflowPunct w:val="0"/>
        <w:snapToGrid w:val="0"/>
        <w:spacing w:line="240" w:lineRule="auto"/>
        <w:rPr>
          <w:rFonts w:ascii="ＭＳ ゴシック" w:eastAsia="ＭＳ ゴシック" w:hAnsi="ＭＳ ゴシック"/>
          <w:szCs w:val="24"/>
        </w:rPr>
      </w:pPr>
    </w:p>
    <w:p w:rsidR="00386B48" w:rsidRDefault="006C48CB" w:rsidP="006C48CB">
      <w:pPr>
        <w:tabs>
          <w:tab w:val="left" w:pos="960"/>
        </w:tabs>
        <w:kinsoku w:val="0"/>
        <w:overflowPunct w:val="0"/>
        <w:snapToGrid w:val="0"/>
        <w:spacing w:line="240" w:lineRule="auto"/>
        <w:rPr>
          <w:rFonts w:ascii="ＭＳ ゴシック" w:eastAsia="ＭＳ ゴシック" w:hAnsi="ＭＳ ゴシック"/>
          <w:szCs w:val="24"/>
        </w:rPr>
      </w:pPr>
      <w:r>
        <w:rPr>
          <w:rFonts w:ascii="ＭＳ ゴシック" w:eastAsia="ＭＳ ゴシック" w:hAnsi="ＭＳ ゴシック"/>
          <w:szCs w:val="24"/>
        </w:rPr>
        <w:tab/>
      </w:r>
    </w:p>
    <w:p w:rsidR="00127FD3" w:rsidRDefault="00127FD3" w:rsidP="000307AE">
      <w:pPr>
        <w:kinsoku w:val="0"/>
        <w:overflowPunct w:val="0"/>
        <w:snapToGrid w:val="0"/>
        <w:spacing w:line="240" w:lineRule="auto"/>
        <w:rPr>
          <w:rFonts w:ascii="ＭＳ ゴシック" w:eastAsia="ＭＳ ゴシック" w:hAnsi="ＭＳ ゴシック" w:hint="eastAsia"/>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p w:rsidR="001D683C" w:rsidRDefault="00403DE9" w:rsidP="001D683C">
      <w:pPr>
        <w:spacing w:line="240" w:lineRule="auto"/>
        <w:rPr>
          <w:rFonts w:hAnsi="ＭＳ 明朝"/>
          <w:szCs w:val="24"/>
        </w:rPr>
      </w:pPr>
      <w:bookmarkStart w:id="0" w:name="_GoBack"/>
      <w:r w:rsidRPr="0020002D">
        <w:rPr>
          <w:rFonts w:hAnsi="ＭＳ 明朝"/>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1.5pt;height:439.5pt">
            <v:imagedata r:id="rId9" o:title=""/>
          </v:shape>
        </w:pict>
      </w:r>
      <w:bookmarkEnd w:id="0"/>
    </w:p>
    <w:p w:rsidR="00262A79" w:rsidRPr="00F50560" w:rsidRDefault="00A9426D" w:rsidP="00FC1344">
      <w:pPr>
        <w:spacing w:line="240" w:lineRule="auto"/>
        <w:ind w:firstLineChars="100" w:firstLine="240"/>
        <w:jc w:val="distribute"/>
        <w:rPr>
          <w:rFonts w:hAnsi="ＭＳ 明朝"/>
          <w:szCs w:val="24"/>
        </w:rPr>
      </w:pPr>
      <w:r w:rsidRPr="00F50560">
        <w:rPr>
          <w:rFonts w:hAnsi="ＭＳ 明朝" w:hint="eastAsia"/>
          <w:szCs w:val="24"/>
        </w:rPr>
        <w:t>当年度の各款の支出済額にかかる対前年度増減についての主な要因は、次のとおりで</w:t>
      </w:r>
    </w:p>
    <w:p w:rsidR="00A9426D" w:rsidRPr="00F50560" w:rsidRDefault="00A9426D" w:rsidP="00262A79">
      <w:pPr>
        <w:kinsoku w:val="0"/>
        <w:overflowPunct w:val="0"/>
        <w:snapToGrid w:val="0"/>
        <w:spacing w:line="240" w:lineRule="auto"/>
        <w:rPr>
          <w:rFonts w:hAnsi="ＭＳ 明朝"/>
          <w:szCs w:val="24"/>
        </w:rPr>
      </w:pPr>
      <w:r w:rsidRPr="00F50560">
        <w:rPr>
          <w:rFonts w:hAnsi="ＭＳ 明朝" w:hint="eastAsia"/>
          <w:szCs w:val="24"/>
        </w:rPr>
        <w:t>ある。</w:t>
      </w:r>
    </w:p>
    <w:p w:rsidR="005552A3" w:rsidRPr="0018610E" w:rsidRDefault="00837817" w:rsidP="00262A79">
      <w:pPr>
        <w:kinsoku w:val="0"/>
        <w:overflowPunct w:val="0"/>
        <w:snapToGrid w:val="0"/>
        <w:spacing w:line="240" w:lineRule="auto"/>
        <w:rPr>
          <w:rFonts w:hAnsi="ＭＳ 明朝"/>
          <w:szCs w:val="24"/>
        </w:rPr>
      </w:pPr>
      <w:r>
        <w:rPr>
          <w:rFonts w:hAnsi="ＭＳ 明朝" w:hint="eastAsia"/>
          <w:szCs w:val="24"/>
        </w:rPr>
        <w:t xml:space="preserve">　</w:t>
      </w:r>
      <w:r w:rsidR="0031753D" w:rsidRPr="0018610E">
        <w:rPr>
          <w:rFonts w:hAnsi="ＭＳ 明朝" w:hint="eastAsia"/>
          <w:szCs w:val="24"/>
        </w:rPr>
        <w:t>総務</w:t>
      </w:r>
      <w:r w:rsidR="00637BA3" w:rsidRPr="0018610E">
        <w:rPr>
          <w:rFonts w:hAnsi="ＭＳ 明朝" w:hint="eastAsia"/>
          <w:szCs w:val="24"/>
        </w:rPr>
        <w:t>費</w:t>
      </w:r>
      <w:r w:rsidR="006404E2" w:rsidRPr="0018610E">
        <w:rPr>
          <w:rFonts w:hAnsi="ＭＳ 明朝" w:hint="eastAsia"/>
          <w:szCs w:val="24"/>
        </w:rPr>
        <w:t>の</w:t>
      </w:r>
      <w:r w:rsidR="00353919" w:rsidRPr="0018610E">
        <w:rPr>
          <w:rFonts w:hAnsi="ＭＳ 明朝" w:hint="eastAsia"/>
          <w:szCs w:val="24"/>
        </w:rPr>
        <w:t>増加</w:t>
      </w:r>
      <w:r w:rsidR="006404E2" w:rsidRPr="0018610E">
        <w:rPr>
          <w:rFonts w:hAnsi="ＭＳ 明朝" w:hint="eastAsia"/>
          <w:szCs w:val="24"/>
        </w:rPr>
        <w:t>の</w:t>
      </w:r>
      <w:r w:rsidR="00EA54C2" w:rsidRPr="0018610E">
        <w:rPr>
          <w:rFonts w:hAnsi="ＭＳ 明朝" w:hint="eastAsia"/>
          <w:szCs w:val="24"/>
        </w:rPr>
        <w:t>主な要因は、</w:t>
      </w:r>
      <w:r w:rsidR="0031753D" w:rsidRPr="0018610E">
        <w:rPr>
          <w:rFonts w:hAnsi="ＭＳ 明朝" w:hint="eastAsia"/>
          <w:szCs w:val="24"/>
        </w:rPr>
        <w:t>防災行政無線整備事業費、固定資産評価事業費</w:t>
      </w:r>
      <w:r w:rsidR="009C1A54" w:rsidRPr="0018610E">
        <w:rPr>
          <w:rFonts w:hAnsi="ＭＳ 明朝" w:hint="eastAsia"/>
          <w:szCs w:val="24"/>
        </w:rPr>
        <w:t>等</w:t>
      </w:r>
      <w:r w:rsidR="00637BA3" w:rsidRPr="0018610E">
        <w:rPr>
          <w:rFonts w:hAnsi="ＭＳ 明朝" w:hint="eastAsia"/>
          <w:szCs w:val="24"/>
        </w:rPr>
        <w:t>が減少したものの、</w:t>
      </w:r>
      <w:r w:rsidR="0031753D" w:rsidRPr="0018610E">
        <w:rPr>
          <w:rFonts w:hAnsi="ＭＳ 明朝" w:hint="eastAsia"/>
          <w:szCs w:val="24"/>
        </w:rPr>
        <w:t>特別定額給付金事業費</w:t>
      </w:r>
      <w:r w:rsidR="00EF7B28" w:rsidRPr="0018610E">
        <w:rPr>
          <w:rFonts w:hAnsi="ＭＳ 明朝" w:hint="eastAsia"/>
          <w:szCs w:val="24"/>
        </w:rPr>
        <w:t>、</w:t>
      </w:r>
      <w:r w:rsidR="003C1611" w:rsidRPr="0018610E">
        <w:rPr>
          <w:rFonts w:hAnsi="ＭＳ 明朝" w:hint="eastAsia"/>
          <w:szCs w:val="24"/>
        </w:rPr>
        <w:t>公共施設等整備改修基金積立金、減債基金積立金、財政調整基金積立金</w:t>
      </w:r>
      <w:r w:rsidR="009C1A54" w:rsidRPr="0018610E">
        <w:rPr>
          <w:rFonts w:hAnsi="ＭＳ 明朝" w:hint="eastAsia"/>
          <w:szCs w:val="24"/>
        </w:rPr>
        <w:t>等</w:t>
      </w:r>
      <w:r w:rsidR="00637BA3" w:rsidRPr="0018610E">
        <w:rPr>
          <w:rFonts w:hAnsi="ＭＳ 明朝" w:hint="eastAsia"/>
          <w:szCs w:val="24"/>
        </w:rPr>
        <w:t>が増加したこ</w:t>
      </w:r>
      <w:r w:rsidR="00EF7B28" w:rsidRPr="0018610E">
        <w:rPr>
          <w:rFonts w:hAnsi="ＭＳ 明朝" w:hint="eastAsia"/>
          <w:szCs w:val="24"/>
        </w:rPr>
        <w:t>と</w:t>
      </w:r>
      <w:r w:rsidR="00EA54C2" w:rsidRPr="0018610E">
        <w:rPr>
          <w:rFonts w:hAnsi="ＭＳ 明朝" w:hint="eastAsia"/>
          <w:szCs w:val="24"/>
        </w:rPr>
        <w:t>によるものである。</w:t>
      </w:r>
    </w:p>
    <w:p w:rsidR="00821B8F" w:rsidRPr="0018610E" w:rsidRDefault="0031753D" w:rsidP="00637BA3">
      <w:pPr>
        <w:kinsoku w:val="0"/>
        <w:overflowPunct w:val="0"/>
        <w:snapToGrid w:val="0"/>
        <w:spacing w:line="240" w:lineRule="auto"/>
        <w:rPr>
          <w:rFonts w:hAnsi="ＭＳ 明朝"/>
          <w:szCs w:val="24"/>
        </w:rPr>
      </w:pPr>
      <w:r w:rsidRPr="0018610E">
        <w:rPr>
          <w:rFonts w:hAnsi="ＭＳ 明朝" w:hint="eastAsia"/>
          <w:szCs w:val="24"/>
        </w:rPr>
        <w:t xml:space="preserve">　土木</w:t>
      </w:r>
      <w:r w:rsidR="00164CD8" w:rsidRPr="0018610E">
        <w:rPr>
          <w:rFonts w:hAnsi="ＭＳ 明朝" w:hint="eastAsia"/>
          <w:szCs w:val="24"/>
        </w:rPr>
        <w:t>費の</w:t>
      </w:r>
      <w:r w:rsidR="00930752" w:rsidRPr="0018610E">
        <w:rPr>
          <w:rFonts w:hAnsi="ＭＳ 明朝" w:hint="eastAsia"/>
          <w:szCs w:val="24"/>
        </w:rPr>
        <w:t>増加</w:t>
      </w:r>
      <w:r w:rsidR="00164CD8" w:rsidRPr="0018610E">
        <w:rPr>
          <w:rFonts w:hAnsi="ＭＳ 明朝" w:hint="eastAsia"/>
          <w:szCs w:val="24"/>
        </w:rPr>
        <w:t>の主な要因は、</w:t>
      </w:r>
      <w:r w:rsidR="002F1C2B" w:rsidRPr="0018610E">
        <w:rPr>
          <w:rFonts w:hAnsi="ＭＳ 明朝" w:hint="eastAsia"/>
          <w:szCs w:val="24"/>
        </w:rPr>
        <w:t>道路リフレッシュ事業費</w:t>
      </w:r>
      <w:r w:rsidRPr="0018610E">
        <w:rPr>
          <w:rFonts w:hAnsi="ＭＳ 明朝" w:hint="eastAsia"/>
          <w:szCs w:val="24"/>
        </w:rPr>
        <w:t>、</w:t>
      </w:r>
      <w:r w:rsidR="002F1C2B" w:rsidRPr="0018610E">
        <w:rPr>
          <w:rFonts w:hAnsi="ＭＳ 明朝" w:hint="eastAsia"/>
          <w:szCs w:val="24"/>
        </w:rPr>
        <w:t>市単独道路整備事業費、準用河</w:t>
      </w:r>
      <w:r w:rsidR="002F1C2B" w:rsidRPr="0018610E">
        <w:rPr>
          <w:rFonts w:hAnsi="ＭＳ 明朝" w:hint="eastAsia"/>
          <w:w w:val="97"/>
          <w:szCs w:val="24"/>
          <w:fitText w:val="9600" w:id="-1738897920"/>
        </w:rPr>
        <w:t>川整備事業費</w:t>
      </w:r>
      <w:r w:rsidR="009C1A54" w:rsidRPr="0018610E">
        <w:rPr>
          <w:rFonts w:hAnsi="ＭＳ 明朝" w:hint="eastAsia"/>
          <w:w w:val="97"/>
          <w:szCs w:val="24"/>
          <w:fitText w:val="9600" w:id="-1738897920"/>
        </w:rPr>
        <w:t>等</w:t>
      </w:r>
      <w:r w:rsidR="00637BA3" w:rsidRPr="0018610E">
        <w:rPr>
          <w:rFonts w:hAnsi="ＭＳ 明朝" w:hint="eastAsia"/>
          <w:w w:val="97"/>
          <w:szCs w:val="24"/>
          <w:fitText w:val="9600" w:id="-1738897920"/>
        </w:rPr>
        <w:t>が減少したものの、</w:t>
      </w:r>
      <w:r w:rsidR="002F1C2B" w:rsidRPr="0018610E">
        <w:rPr>
          <w:rFonts w:hAnsi="ＭＳ 明朝" w:hint="eastAsia"/>
          <w:w w:val="97"/>
          <w:szCs w:val="24"/>
          <w:fitText w:val="9600" w:id="-1738897920"/>
        </w:rPr>
        <w:t>除雪対策事業費、街路整備事業費、都市公園等</w:t>
      </w:r>
      <w:r w:rsidR="004A6D47" w:rsidRPr="0018610E">
        <w:rPr>
          <w:rFonts w:hAnsi="ＭＳ 明朝" w:hint="eastAsia"/>
          <w:w w:val="97"/>
          <w:szCs w:val="24"/>
          <w:fitText w:val="9600" w:id="-1738897920"/>
        </w:rPr>
        <w:t>管理費</w:t>
      </w:r>
      <w:r w:rsidR="003C1611" w:rsidRPr="0018610E">
        <w:rPr>
          <w:rFonts w:hAnsi="ＭＳ 明朝" w:hint="eastAsia"/>
          <w:spacing w:val="33"/>
          <w:w w:val="97"/>
          <w:szCs w:val="24"/>
          <w:fitText w:val="9600" w:id="-1738897920"/>
        </w:rPr>
        <w:t>、</w:t>
      </w:r>
      <w:r w:rsidR="003C1611" w:rsidRPr="0018610E">
        <w:rPr>
          <w:rFonts w:hAnsi="ＭＳ 明朝" w:hint="eastAsia"/>
          <w:szCs w:val="24"/>
        </w:rPr>
        <w:t>防災センター整備事業費</w:t>
      </w:r>
      <w:r w:rsidR="009C1A54" w:rsidRPr="0018610E">
        <w:rPr>
          <w:rFonts w:hAnsi="ＭＳ 明朝" w:hint="eastAsia"/>
          <w:szCs w:val="24"/>
        </w:rPr>
        <w:t>等</w:t>
      </w:r>
      <w:r w:rsidR="00637BA3" w:rsidRPr="0018610E">
        <w:rPr>
          <w:rFonts w:hAnsi="ＭＳ 明朝" w:hint="eastAsia"/>
          <w:szCs w:val="24"/>
        </w:rPr>
        <w:t>が増加</w:t>
      </w:r>
      <w:r w:rsidR="00821B8F" w:rsidRPr="0018610E">
        <w:rPr>
          <w:rFonts w:hAnsi="ＭＳ 明朝" w:hint="eastAsia"/>
          <w:szCs w:val="24"/>
        </w:rPr>
        <w:t>したことによるものである。</w:t>
      </w:r>
    </w:p>
    <w:p w:rsidR="00821B8F" w:rsidRPr="00637BA3" w:rsidRDefault="00D364E8" w:rsidP="00637BA3">
      <w:pPr>
        <w:kinsoku w:val="0"/>
        <w:overflowPunct w:val="0"/>
        <w:snapToGrid w:val="0"/>
        <w:spacing w:line="240" w:lineRule="auto"/>
        <w:rPr>
          <w:rFonts w:hAnsi="ＭＳ 明朝"/>
          <w:szCs w:val="24"/>
        </w:rPr>
      </w:pPr>
      <w:r w:rsidRPr="0018610E">
        <w:rPr>
          <w:rFonts w:hAnsi="ＭＳ 明朝" w:hint="eastAsia"/>
          <w:szCs w:val="24"/>
        </w:rPr>
        <w:t xml:space="preserve">　</w:t>
      </w:r>
      <w:r w:rsidR="002F1C2B" w:rsidRPr="0018610E">
        <w:rPr>
          <w:rFonts w:hAnsi="ＭＳ 明朝" w:hint="eastAsia"/>
          <w:szCs w:val="24"/>
        </w:rPr>
        <w:t>商工費</w:t>
      </w:r>
      <w:r w:rsidRPr="0018610E">
        <w:rPr>
          <w:rFonts w:hAnsi="ＭＳ 明朝" w:hint="eastAsia"/>
          <w:szCs w:val="24"/>
        </w:rPr>
        <w:t>の増加の主な要因は、</w:t>
      </w:r>
      <w:r w:rsidR="002F1C2B" w:rsidRPr="0018610E">
        <w:rPr>
          <w:rFonts w:hAnsi="ＭＳ 明朝" w:hint="eastAsia"/>
          <w:szCs w:val="24"/>
        </w:rPr>
        <w:t>中小企業金融対策事業費、祭行事・イベント等開催事業費</w:t>
      </w:r>
      <w:r w:rsidR="009C1A54" w:rsidRPr="0018610E">
        <w:rPr>
          <w:rFonts w:hAnsi="ＭＳ 明朝" w:hint="eastAsia"/>
          <w:szCs w:val="24"/>
        </w:rPr>
        <w:t>等</w:t>
      </w:r>
      <w:r w:rsidR="00637BA3" w:rsidRPr="0018610E">
        <w:rPr>
          <w:rFonts w:hAnsi="ＭＳ 明朝" w:hint="eastAsia"/>
          <w:szCs w:val="24"/>
        </w:rPr>
        <w:t>が減少したものの、</w:t>
      </w:r>
      <w:r w:rsidR="002F1C2B" w:rsidRPr="0018610E">
        <w:rPr>
          <w:rFonts w:hAnsi="ＭＳ 明朝" w:hint="eastAsia"/>
          <w:szCs w:val="24"/>
        </w:rPr>
        <w:t>消費活性化対策キャッシュレス還元事業費、高岡地域地場産業センター移転整備事業費</w:t>
      </w:r>
      <w:r w:rsidR="003C1611" w:rsidRPr="0018610E">
        <w:rPr>
          <w:rFonts w:hAnsi="ＭＳ 明朝" w:hint="eastAsia"/>
          <w:szCs w:val="24"/>
        </w:rPr>
        <w:t>、セリオタウン推進事業費</w:t>
      </w:r>
      <w:r w:rsidR="009C1A54" w:rsidRPr="0018610E">
        <w:rPr>
          <w:rFonts w:hAnsi="ＭＳ 明朝" w:hint="eastAsia"/>
          <w:szCs w:val="24"/>
        </w:rPr>
        <w:t>等</w:t>
      </w:r>
      <w:r w:rsidR="00D75108" w:rsidRPr="0018610E">
        <w:rPr>
          <w:rFonts w:hAnsi="ＭＳ 明朝" w:hint="eastAsia"/>
          <w:szCs w:val="24"/>
        </w:rPr>
        <w:t>が</w:t>
      </w:r>
      <w:r w:rsidR="00C87D72" w:rsidRPr="0018610E">
        <w:rPr>
          <w:rFonts w:hAnsi="ＭＳ 明朝" w:hint="eastAsia"/>
          <w:szCs w:val="24"/>
        </w:rPr>
        <w:t>増加した</w:t>
      </w:r>
      <w:r w:rsidRPr="0018610E">
        <w:rPr>
          <w:rFonts w:hAnsi="ＭＳ 明朝" w:hint="eastAsia"/>
          <w:szCs w:val="24"/>
        </w:rPr>
        <w:t>ことによるものである。</w:t>
      </w:r>
    </w:p>
    <w:p w:rsidR="00E3679A" w:rsidRPr="00A721E4" w:rsidRDefault="00E3679A" w:rsidP="00637BA3">
      <w:pPr>
        <w:kinsoku w:val="0"/>
        <w:overflowPunct w:val="0"/>
        <w:snapToGrid w:val="0"/>
        <w:spacing w:line="240" w:lineRule="auto"/>
        <w:rPr>
          <w:rFonts w:hAnsi="ＭＳ 明朝"/>
          <w:szCs w:val="24"/>
        </w:rPr>
      </w:pPr>
    </w:p>
    <w:p w:rsidR="00A77BB4" w:rsidRDefault="00A77BB4" w:rsidP="00DC50CB">
      <w:pPr>
        <w:spacing w:line="240" w:lineRule="auto"/>
        <w:rPr>
          <w:rFonts w:hAnsi="ＭＳ 明朝"/>
          <w:szCs w:val="24"/>
        </w:rPr>
      </w:pPr>
    </w:p>
    <w:p w:rsidR="00B753AB" w:rsidRPr="00A9426D" w:rsidRDefault="00B753AB" w:rsidP="00DC50CB">
      <w:pPr>
        <w:spacing w:line="240" w:lineRule="auto"/>
        <w:rPr>
          <w:rFonts w:hAnsi="ＭＳ 明朝" w:hint="eastAsia"/>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p w:rsidR="008463AA" w:rsidRDefault="008B41AE" w:rsidP="00737779">
      <w:pPr>
        <w:spacing w:line="240" w:lineRule="auto"/>
        <w:rPr>
          <w:rFonts w:hAnsi="ＭＳ 明朝"/>
          <w:szCs w:val="24"/>
        </w:rPr>
      </w:pPr>
      <w:r w:rsidRPr="0020002D">
        <w:rPr>
          <w:rFonts w:hAnsi="ＭＳ 明朝"/>
          <w:szCs w:val="24"/>
        </w:rPr>
        <w:pict>
          <v:shape id="_x0000_i1059" type="#_x0000_t75" style="width:478pt;height:435.5pt">
            <v:imagedata r:id="rId10" o:title=""/>
          </v:shape>
        </w:pict>
      </w:r>
    </w:p>
    <w:p w:rsidR="00737779" w:rsidRDefault="00737779" w:rsidP="00737779">
      <w:pPr>
        <w:spacing w:line="240" w:lineRule="auto"/>
        <w:rPr>
          <w:rFonts w:hAnsi="ＭＳ 明朝"/>
          <w:szCs w:val="24"/>
        </w:rPr>
      </w:pPr>
    </w:p>
    <w:p w:rsidR="004E703B" w:rsidRPr="0018610E" w:rsidRDefault="004E703B" w:rsidP="004E703B">
      <w:pPr>
        <w:kinsoku w:val="0"/>
        <w:overflowPunct w:val="0"/>
        <w:snapToGrid w:val="0"/>
        <w:spacing w:line="240" w:lineRule="auto"/>
        <w:ind w:firstLineChars="100" w:firstLine="240"/>
        <w:rPr>
          <w:rFonts w:hAnsi="ＭＳ 明朝"/>
          <w:szCs w:val="24"/>
        </w:rPr>
      </w:pPr>
      <w:r w:rsidRPr="0018610E">
        <w:rPr>
          <w:rFonts w:hAnsi="ＭＳ 明朝" w:hint="eastAsia"/>
          <w:szCs w:val="24"/>
        </w:rPr>
        <w:t>教育費の減少の主な要因は、小</w:t>
      </w:r>
      <w:r w:rsidR="009268DF" w:rsidRPr="0018610E">
        <w:rPr>
          <w:rFonts w:hAnsi="ＭＳ 明朝" w:hint="eastAsia"/>
          <w:szCs w:val="24"/>
        </w:rPr>
        <w:t>・</w:t>
      </w:r>
      <w:r w:rsidRPr="0018610E">
        <w:rPr>
          <w:rFonts w:hAnsi="ＭＳ 明朝" w:hint="eastAsia"/>
          <w:szCs w:val="24"/>
        </w:rPr>
        <w:t>中</w:t>
      </w:r>
      <w:r w:rsidR="009268DF" w:rsidRPr="0018610E">
        <w:rPr>
          <w:rFonts w:hAnsi="ＭＳ 明朝" w:hint="eastAsia"/>
          <w:szCs w:val="24"/>
        </w:rPr>
        <w:t>・義務教育</w:t>
      </w:r>
      <w:r w:rsidRPr="0018610E">
        <w:rPr>
          <w:rFonts w:hAnsi="ＭＳ 明朝" w:hint="eastAsia"/>
          <w:szCs w:val="24"/>
        </w:rPr>
        <w:t>学校の学校ＩＣＴ環境整備事業費</w:t>
      </w:r>
      <w:r w:rsidR="003C1611" w:rsidRPr="0018610E">
        <w:rPr>
          <w:rFonts w:hAnsi="ＭＳ 明朝" w:hint="eastAsia"/>
          <w:szCs w:val="24"/>
        </w:rPr>
        <w:t>、教職員研修事業費</w:t>
      </w:r>
      <w:r w:rsidR="009C1A54" w:rsidRPr="0018610E">
        <w:rPr>
          <w:rFonts w:hAnsi="ＭＳ 明朝" w:hint="eastAsia"/>
          <w:szCs w:val="24"/>
        </w:rPr>
        <w:t>等</w:t>
      </w:r>
      <w:r w:rsidRPr="0018610E">
        <w:rPr>
          <w:rFonts w:hAnsi="ＭＳ 明朝" w:hint="eastAsia"/>
          <w:szCs w:val="24"/>
        </w:rPr>
        <w:t>が増加したものの、小</w:t>
      </w:r>
      <w:r w:rsidR="000B3408" w:rsidRPr="0018610E">
        <w:rPr>
          <w:rFonts w:hAnsi="ＭＳ 明朝" w:hint="eastAsia"/>
          <w:szCs w:val="24"/>
        </w:rPr>
        <w:t>・</w:t>
      </w:r>
      <w:r w:rsidRPr="0018610E">
        <w:rPr>
          <w:rFonts w:hAnsi="ＭＳ 明朝" w:hint="eastAsia"/>
          <w:szCs w:val="24"/>
        </w:rPr>
        <w:t>中</w:t>
      </w:r>
      <w:r w:rsidR="000B3408" w:rsidRPr="0018610E">
        <w:rPr>
          <w:rFonts w:hAnsi="ＭＳ 明朝" w:hint="eastAsia"/>
          <w:szCs w:val="24"/>
        </w:rPr>
        <w:t>・義務教育</w:t>
      </w:r>
      <w:r w:rsidRPr="0018610E">
        <w:rPr>
          <w:rFonts w:hAnsi="ＭＳ 明朝" w:hint="eastAsia"/>
          <w:szCs w:val="24"/>
        </w:rPr>
        <w:t>学校の空調設備整備事業費、志貴野中学校グラウンド改修事業費、五位中学校区統合小学校整備事業費</w:t>
      </w:r>
      <w:r w:rsidR="009C1A54" w:rsidRPr="0018610E">
        <w:rPr>
          <w:rFonts w:hAnsi="ＭＳ 明朝" w:hint="eastAsia"/>
          <w:szCs w:val="24"/>
        </w:rPr>
        <w:t>等</w:t>
      </w:r>
      <w:r w:rsidRPr="0018610E">
        <w:rPr>
          <w:rFonts w:hAnsi="ＭＳ 明朝" w:hint="eastAsia"/>
          <w:szCs w:val="24"/>
        </w:rPr>
        <w:t>が減少したことによるものである。</w:t>
      </w:r>
    </w:p>
    <w:p w:rsidR="00885FDC" w:rsidRPr="0018610E" w:rsidRDefault="004E703B" w:rsidP="00EA54C2">
      <w:pPr>
        <w:spacing w:line="240" w:lineRule="auto"/>
        <w:ind w:firstLineChars="100" w:firstLine="240"/>
        <w:rPr>
          <w:rFonts w:hAnsi="ＭＳ 明朝"/>
          <w:szCs w:val="24"/>
        </w:rPr>
      </w:pPr>
      <w:r w:rsidRPr="0018610E">
        <w:rPr>
          <w:rFonts w:hAnsi="ＭＳ 明朝" w:hint="eastAsia"/>
          <w:szCs w:val="24"/>
        </w:rPr>
        <w:t>農林水産業</w:t>
      </w:r>
      <w:r w:rsidR="00684632" w:rsidRPr="0018610E">
        <w:rPr>
          <w:rFonts w:hAnsi="ＭＳ 明朝" w:hint="eastAsia"/>
          <w:szCs w:val="24"/>
        </w:rPr>
        <w:t>費</w:t>
      </w:r>
      <w:r w:rsidR="00564AE4" w:rsidRPr="0018610E">
        <w:rPr>
          <w:rFonts w:hAnsi="ＭＳ 明朝" w:hint="eastAsia"/>
          <w:szCs w:val="24"/>
        </w:rPr>
        <w:t>の減少</w:t>
      </w:r>
      <w:r w:rsidR="00DD5684" w:rsidRPr="0018610E">
        <w:rPr>
          <w:rFonts w:hAnsi="ＭＳ 明朝" w:hint="eastAsia"/>
          <w:szCs w:val="24"/>
        </w:rPr>
        <w:t>の</w:t>
      </w:r>
      <w:r w:rsidR="00DE1A41" w:rsidRPr="0018610E">
        <w:rPr>
          <w:rFonts w:hAnsi="ＭＳ 明朝" w:hint="eastAsia"/>
          <w:szCs w:val="24"/>
        </w:rPr>
        <w:t>主な</w:t>
      </w:r>
      <w:r w:rsidR="00D31E2A" w:rsidRPr="0018610E">
        <w:rPr>
          <w:rFonts w:hAnsi="ＭＳ 明朝" w:hint="eastAsia"/>
          <w:szCs w:val="24"/>
        </w:rPr>
        <w:t>要因は、</w:t>
      </w:r>
      <w:r w:rsidR="00E12F81" w:rsidRPr="0018610E">
        <w:rPr>
          <w:rFonts w:hAnsi="ＭＳ 明朝" w:hint="eastAsia"/>
          <w:szCs w:val="24"/>
        </w:rPr>
        <w:t>林業対策事業費</w:t>
      </w:r>
      <w:r w:rsidR="009C1A54" w:rsidRPr="0018610E">
        <w:rPr>
          <w:rFonts w:hAnsi="ＭＳ 明朝" w:hint="eastAsia"/>
          <w:szCs w:val="24"/>
        </w:rPr>
        <w:t>等</w:t>
      </w:r>
      <w:r w:rsidR="00E12F81" w:rsidRPr="0018610E">
        <w:rPr>
          <w:rFonts w:hAnsi="ＭＳ 明朝" w:hint="eastAsia"/>
          <w:szCs w:val="24"/>
        </w:rPr>
        <w:t>が増加したものの、農村</w:t>
      </w:r>
      <w:r w:rsidRPr="0018610E">
        <w:rPr>
          <w:rFonts w:hAnsi="ＭＳ 明朝" w:hint="eastAsia"/>
          <w:szCs w:val="24"/>
        </w:rPr>
        <w:t>会館施設解体事業費</w:t>
      </w:r>
      <w:r w:rsidR="003C1611" w:rsidRPr="0018610E">
        <w:rPr>
          <w:rFonts w:hAnsi="ＭＳ 明朝" w:hint="eastAsia"/>
          <w:szCs w:val="24"/>
        </w:rPr>
        <w:t>、団体営林道事業費</w:t>
      </w:r>
      <w:r w:rsidR="009C1A54" w:rsidRPr="0018610E">
        <w:rPr>
          <w:rFonts w:hAnsi="ＭＳ 明朝" w:hint="eastAsia"/>
          <w:szCs w:val="24"/>
        </w:rPr>
        <w:t>等</w:t>
      </w:r>
      <w:r w:rsidR="00D17F01" w:rsidRPr="0018610E">
        <w:rPr>
          <w:rFonts w:hAnsi="ＭＳ 明朝" w:hint="eastAsia"/>
          <w:szCs w:val="24"/>
        </w:rPr>
        <w:t>が減少した</w:t>
      </w:r>
      <w:r w:rsidR="00D31E2A" w:rsidRPr="0018610E">
        <w:rPr>
          <w:rFonts w:hAnsi="ＭＳ 明朝" w:hint="eastAsia"/>
          <w:szCs w:val="24"/>
        </w:rPr>
        <w:t>ことによるものである。</w:t>
      </w:r>
    </w:p>
    <w:p w:rsidR="00A65A0C" w:rsidRDefault="00A65A0C" w:rsidP="00A65A0C">
      <w:pPr>
        <w:spacing w:line="240" w:lineRule="auto"/>
        <w:ind w:firstLineChars="100" w:firstLine="240"/>
        <w:rPr>
          <w:rFonts w:hAnsi="ＭＳ 明朝"/>
          <w:szCs w:val="24"/>
        </w:rPr>
      </w:pPr>
      <w:r w:rsidRPr="0018610E">
        <w:rPr>
          <w:rFonts w:hAnsi="ＭＳ 明朝" w:hint="eastAsia"/>
          <w:szCs w:val="24"/>
        </w:rPr>
        <w:t>衛生費の減少の主な要因は、予防接種事業費</w:t>
      </w:r>
      <w:r w:rsidR="009C1A54" w:rsidRPr="0018610E">
        <w:rPr>
          <w:rFonts w:hAnsi="ＭＳ 明朝" w:hint="eastAsia"/>
          <w:szCs w:val="24"/>
        </w:rPr>
        <w:t>等</w:t>
      </w:r>
      <w:r w:rsidRPr="0018610E">
        <w:rPr>
          <w:rFonts w:hAnsi="ＭＳ 明朝" w:hint="eastAsia"/>
          <w:szCs w:val="24"/>
        </w:rPr>
        <w:t>が増加したものの、高岡地区広域圏事務組合</w:t>
      </w:r>
      <w:r w:rsidR="00BF4DF5" w:rsidRPr="0018610E">
        <w:rPr>
          <w:rFonts w:hAnsi="ＭＳ 明朝" w:hint="eastAsia"/>
          <w:szCs w:val="24"/>
        </w:rPr>
        <w:t>（ごみ共同処理）</w:t>
      </w:r>
      <w:r w:rsidRPr="0018610E">
        <w:rPr>
          <w:rFonts w:hAnsi="ＭＳ 明朝" w:hint="eastAsia"/>
          <w:szCs w:val="24"/>
        </w:rPr>
        <w:t>分担金、四屋し尿処理施設管理事業費</w:t>
      </w:r>
      <w:r w:rsidR="009C1A54" w:rsidRPr="0018610E">
        <w:rPr>
          <w:rFonts w:hAnsi="ＭＳ 明朝" w:hint="eastAsia"/>
          <w:szCs w:val="24"/>
        </w:rPr>
        <w:t>等</w:t>
      </w:r>
      <w:r w:rsidRPr="0018610E">
        <w:rPr>
          <w:rFonts w:hAnsi="ＭＳ 明朝" w:hint="eastAsia"/>
          <w:szCs w:val="24"/>
        </w:rPr>
        <w:t>が減少したことによるものである。</w:t>
      </w:r>
    </w:p>
    <w:p w:rsidR="0055616E" w:rsidRDefault="0055616E" w:rsidP="00B753AB">
      <w:pPr>
        <w:kinsoku w:val="0"/>
        <w:overflowPunct w:val="0"/>
        <w:snapToGrid w:val="0"/>
        <w:spacing w:line="240" w:lineRule="auto"/>
        <w:ind w:right="1200"/>
        <w:rPr>
          <w:rFonts w:ascii="ＭＳ ゴシック" w:eastAsia="ＭＳ ゴシック" w:hAnsi="ＭＳ ゴシック"/>
          <w:szCs w:val="24"/>
        </w:rPr>
      </w:pPr>
    </w:p>
    <w:p w:rsidR="00B753AB" w:rsidRDefault="00B753AB" w:rsidP="00B753AB">
      <w:pPr>
        <w:kinsoku w:val="0"/>
        <w:overflowPunct w:val="0"/>
        <w:snapToGrid w:val="0"/>
        <w:spacing w:line="240" w:lineRule="auto"/>
        <w:ind w:right="1200"/>
        <w:rPr>
          <w:rFonts w:ascii="ＭＳ ゴシック" w:eastAsia="ＭＳ ゴシック" w:hAnsi="ＭＳ ゴシック"/>
          <w:szCs w:val="24"/>
        </w:rPr>
      </w:pPr>
    </w:p>
    <w:p w:rsidR="00B753AB" w:rsidRDefault="00B753AB" w:rsidP="00B753AB">
      <w:pPr>
        <w:kinsoku w:val="0"/>
        <w:overflowPunct w:val="0"/>
        <w:snapToGrid w:val="0"/>
        <w:spacing w:line="240" w:lineRule="auto"/>
        <w:ind w:right="1200"/>
        <w:rPr>
          <w:rFonts w:ascii="ＭＳ ゴシック" w:eastAsia="ＭＳ ゴシック" w:hAnsi="ＭＳ ゴシック" w:hint="eastAsia"/>
          <w:szCs w:val="24"/>
        </w:rPr>
      </w:pPr>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Pr="00A365E6" w:rsidRDefault="00A365E6" w:rsidP="00A365E6">
      <w:pPr>
        <w:kinsoku w:val="0"/>
        <w:overflowPunct w:val="0"/>
        <w:snapToGrid w:val="0"/>
        <w:spacing w:line="240" w:lineRule="auto"/>
        <w:rPr>
          <w:rFonts w:hAnsi="ＭＳ 明朝"/>
          <w:szCs w:val="24"/>
        </w:rPr>
      </w:pPr>
    </w:p>
    <w:p w:rsidR="00B753AB" w:rsidRDefault="00B753AB" w:rsidP="008B41AE">
      <w:pPr>
        <w:kinsoku w:val="0"/>
        <w:overflowPunct w:val="0"/>
        <w:snapToGrid w:val="0"/>
        <w:spacing w:line="240" w:lineRule="auto"/>
        <w:rPr>
          <w:rFonts w:hAnsi="ＭＳ 明朝"/>
          <w:szCs w:val="24"/>
        </w:rPr>
      </w:pPr>
      <w:r w:rsidRPr="00A365E6">
        <w:rPr>
          <w:rFonts w:hAnsi="ＭＳ 明朝"/>
          <w:szCs w:val="24"/>
        </w:rPr>
        <w:pict>
          <v:shape id="_x0000_i1095" type="#_x0000_t75" style="width:488pt;height:659.5pt">
            <v:imagedata r:id="rId11" o:title=""/>
          </v:shape>
        </w:pict>
      </w:r>
    </w:p>
    <w:p w:rsidR="00B753AB" w:rsidRDefault="00B753AB" w:rsidP="008B41AE">
      <w:pPr>
        <w:kinsoku w:val="0"/>
        <w:overflowPunct w:val="0"/>
        <w:snapToGrid w:val="0"/>
        <w:spacing w:line="240" w:lineRule="auto"/>
        <w:rPr>
          <w:rFonts w:hAnsi="ＭＳ 明朝" w:hint="eastAsia"/>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7C54F4" w:rsidRDefault="00A365E6" w:rsidP="007C54F4">
      <w:pPr>
        <w:kinsoku w:val="0"/>
        <w:overflowPunct w:val="0"/>
        <w:snapToGrid w:val="0"/>
        <w:spacing w:line="240" w:lineRule="auto"/>
        <w:ind w:firstLineChars="3300" w:firstLine="7590"/>
        <w:jc w:val="left"/>
        <w:rPr>
          <w:rFonts w:hAnsi="ＭＳ 明朝"/>
          <w:szCs w:val="24"/>
        </w:rPr>
      </w:pPr>
      <w:r w:rsidRPr="004D0199">
        <w:rPr>
          <w:rFonts w:hAnsi="ＭＳ 明朝" w:hint="eastAsia"/>
          <w:sz w:val="23"/>
          <w:szCs w:val="23"/>
        </w:rPr>
        <w:lastRenderedPageBreak/>
        <w:t>（単位：千円・％）</w:t>
      </w:r>
      <w:r w:rsidR="008B41AE" w:rsidRPr="0020002D">
        <w:rPr>
          <w:rFonts w:hAnsi="ＭＳ 明朝"/>
          <w:szCs w:val="24"/>
        </w:rPr>
        <w:pict>
          <v:shape id="_x0000_i1155" type="#_x0000_t75" style="width:488pt;height:652pt">
            <v:imagedata r:id="rId12" o:title="" croptop="-141f"/>
          </v:shape>
        </w:pict>
      </w:r>
    </w:p>
    <w:p w:rsidR="00875CF2" w:rsidRDefault="00875CF2" w:rsidP="007C54F4">
      <w:pPr>
        <w:kinsoku w:val="0"/>
        <w:overflowPunct w:val="0"/>
        <w:snapToGrid w:val="0"/>
        <w:spacing w:line="240" w:lineRule="auto"/>
        <w:ind w:firstLineChars="3300" w:firstLine="7920"/>
        <w:jc w:val="left"/>
        <w:rPr>
          <w:rFonts w:hAnsi="ＭＳ 明朝"/>
          <w:szCs w:val="24"/>
        </w:rPr>
      </w:pPr>
    </w:p>
    <w:p w:rsidR="008B41AE" w:rsidRPr="007C54F4" w:rsidRDefault="008B41AE" w:rsidP="00B753AB">
      <w:pPr>
        <w:kinsoku w:val="0"/>
        <w:overflowPunct w:val="0"/>
        <w:snapToGrid w:val="0"/>
        <w:spacing w:line="240" w:lineRule="auto"/>
        <w:jc w:val="left"/>
        <w:rPr>
          <w:rFonts w:hAnsi="ＭＳ 明朝" w:hint="eastAsia"/>
          <w:sz w:val="23"/>
          <w:szCs w:val="23"/>
        </w:rPr>
      </w:pPr>
    </w:p>
    <w:p w:rsidR="00304CBC" w:rsidRPr="00C1585A" w:rsidRDefault="00C1585A" w:rsidP="00C1585A">
      <w:pPr>
        <w:kinsoku w:val="0"/>
        <w:overflowPunct w:val="0"/>
        <w:snapToGrid w:val="0"/>
        <w:spacing w:line="240" w:lineRule="auto"/>
        <w:rPr>
          <w:sz w:val="20"/>
        </w:rPr>
      </w:pPr>
      <w:r>
        <w:rPr>
          <w:rFonts w:hint="eastAsia"/>
          <w:sz w:val="20"/>
        </w:rPr>
        <w:t xml:space="preserve">　　</w:t>
      </w:r>
      <w:r w:rsidR="00304CBC" w:rsidRPr="00040971">
        <w:rPr>
          <w:rFonts w:ascii="ＭＳ ゴシック" w:eastAsia="ＭＳ ゴシック" w:hAnsi="ＭＳ ゴシック" w:hint="eastAsia"/>
          <w:spacing w:val="14"/>
          <w:kern w:val="2"/>
          <w:szCs w:val="24"/>
        </w:rPr>
        <w:t>⑵　繰出金の状況</w:t>
      </w:r>
    </w:p>
    <w:p w:rsidR="00304CBC" w:rsidRPr="003D6904"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3D6904">
        <w:rPr>
          <w:rFonts w:hAnsi="ＭＳ 明朝" w:hint="eastAsia"/>
          <w:spacing w:val="15"/>
          <w:szCs w:val="24"/>
          <w:fitText w:val="8640" w:id="941934336"/>
        </w:rPr>
        <w:lastRenderedPageBreak/>
        <w:t>特別会計への繰出金は、国民健康保険事業会計等</w:t>
      </w:r>
      <w:r w:rsidR="0094766B" w:rsidRPr="003D6904">
        <w:rPr>
          <w:rFonts w:hAnsi="ＭＳ 明朝" w:hint="eastAsia"/>
          <w:spacing w:val="15"/>
          <w:szCs w:val="24"/>
          <w:fitText w:val="8640" w:id="941934336"/>
        </w:rPr>
        <w:t>の６</w:t>
      </w:r>
      <w:r w:rsidR="00304CBC" w:rsidRPr="003D6904">
        <w:rPr>
          <w:rFonts w:hAnsi="ＭＳ 明朝" w:hint="eastAsia"/>
          <w:spacing w:val="15"/>
          <w:szCs w:val="24"/>
          <w:fitText w:val="8640" w:id="941934336"/>
        </w:rPr>
        <w:t>事業会計に対して</w:t>
      </w:r>
    </w:p>
    <w:p w:rsidR="00304CBC" w:rsidRPr="003D6904" w:rsidRDefault="00BF7BBD" w:rsidP="00894C15">
      <w:pPr>
        <w:kinsoku w:val="0"/>
        <w:overflowPunct w:val="0"/>
        <w:snapToGrid w:val="0"/>
        <w:spacing w:line="240" w:lineRule="auto"/>
        <w:ind w:leftChars="300" w:left="720"/>
        <w:rPr>
          <w:rFonts w:hAnsi="ＭＳ 明朝"/>
          <w:spacing w:val="8"/>
          <w:kern w:val="2"/>
          <w:szCs w:val="24"/>
        </w:rPr>
      </w:pPr>
      <w:r w:rsidRPr="003D6904">
        <w:rPr>
          <w:rFonts w:hAnsi="ＭＳ 明朝" w:hint="eastAsia"/>
          <w:spacing w:val="14"/>
          <w:kern w:val="2"/>
          <w:szCs w:val="24"/>
        </w:rPr>
        <w:t>4,488,323</w:t>
      </w:r>
      <w:r w:rsidR="00304CBC" w:rsidRPr="003D6904">
        <w:rPr>
          <w:rFonts w:hAnsi="ＭＳ 明朝" w:hint="eastAsia"/>
          <w:spacing w:val="14"/>
          <w:kern w:val="2"/>
          <w:szCs w:val="24"/>
        </w:rPr>
        <w:t>千円</w:t>
      </w:r>
      <w:r w:rsidR="00304CBC" w:rsidRPr="003D6904">
        <w:rPr>
          <w:rFonts w:hAnsi="ＭＳ 明朝" w:hint="eastAsia"/>
          <w:spacing w:val="8"/>
          <w:kern w:val="2"/>
          <w:szCs w:val="24"/>
        </w:rPr>
        <w:t>を繰</w:t>
      </w:r>
      <w:r w:rsidR="00EF416C" w:rsidRPr="003D6904">
        <w:rPr>
          <w:rFonts w:hAnsi="ＭＳ 明朝" w:hint="eastAsia"/>
          <w:spacing w:val="8"/>
          <w:kern w:val="2"/>
          <w:szCs w:val="24"/>
        </w:rPr>
        <w:t>り</w:t>
      </w:r>
      <w:r w:rsidR="00304CBC" w:rsidRPr="003D6904">
        <w:rPr>
          <w:rFonts w:hAnsi="ＭＳ 明朝" w:hint="eastAsia"/>
          <w:spacing w:val="8"/>
          <w:kern w:val="2"/>
          <w:szCs w:val="24"/>
        </w:rPr>
        <w:t>出しており、前年度に比べ</w:t>
      </w:r>
      <w:r w:rsidRPr="003D6904">
        <w:rPr>
          <w:rFonts w:hAnsi="ＭＳ 明朝" w:hint="eastAsia"/>
          <w:spacing w:val="8"/>
          <w:kern w:val="2"/>
          <w:szCs w:val="24"/>
        </w:rPr>
        <w:t>58,555</w:t>
      </w:r>
      <w:r w:rsidR="00304CBC" w:rsidRPr="003D6904">
        <w:rPr>
          <w:rFonts w:hAnsi="ＭＳ 明朝" w:hint="eastAsia"/>
          <w:spacing w:val="8"/>
          <w:kern w:val="2"/>
          <w:szCs w:val="24"/>
        </w:rPr>
        <w:t>千円(</w:t>
      </w:r>
      <w:r w:rsidRPr="003D6904">
        <w:rPr>
          <w:rFonts w:hAnsi="ＭＳ 明朝" w:hint="eastAsia"/>
          <w:spacing w:val="8"/>
          <w:kern w:val="2"/>
          <w:szCs w:val="24"/>
        </w:rPr>
        <w:t>1.3％</w:t>
      </w:r>
      <w:r w:rsidR="00304CBC" w:rsidRPr="003D6904">
        <w:rPr>
          <w:rFonts w:hAnsi="ＭＳ 明朝" w:hint="eastAsia"/>
          <w:spacing w:val="8"/>
          <w:kern w:val="2"/>
          <w:szCs w:val="24"/>
        </w:rPr>
        <w:t>)</w:t>
      </w:r>
      <w:r w:rsidR="00C40389" w:rsidRPr="003D6904">
        <w:rPr>
          <w:rFonts w:hAnsi="ＭＳ 明朝" w:hint="eastAsia"/>
          <w:spacing w:val="8"/>
          <w:kern w:val="2"/>
          <w:szCs w:val="24"/>
        </w:rPr>
        <w:t>増加</w:t>
      </w:r>
      <w:r w:rsidR="00304CBC" w:rsidRPr="003D6904">
        <w:rPr>
          <w:rFonts w:hAnsi="ＭＳ 明朝" w:hint="eastAsia"/>
          <w:spacing w:val="8"/>
          <w:kern w:val="2"/>
          <w:szCs w:val="24"/>
        </w:rPr>
        <w:t>している。</w:t>
      </w:r>
    </w:p>
    <w:p w:rsidR="00894C15" w:rsidRPr="00533946" w:rsidRDefault="00304CBC" w:rsidP="00312463">
      <w:pPr>
        <w:kinsoku w:val="0"/>
        <w:overflowPunct w:val="0"/>
        <w:snapToGrid w:val="0"/>
        <w:spacing w:line="240" w:lineRule="auto"/>
        <w:ind w:leftChars="100" w:left="740" w:hangingChars="250" w:hanging="500"/>
        <w:rPr>
          <w:rFonts w:hAnsi="ＭＳ 明朝"/>
          <w:szCs w:val="24"/>
        </w:rPr>
      </w:pPr>
      <w:r w:rsidRPr="003D6904">
        <w:rPr>
          <w:rFonts w:hAnsi="ＭＳ 明朝" w:hint="eastAsia"/>
          <w:spacing w:val="-20"/>
          <w:szCs w:val="24"/>
        </w:rPr>
        <w:t xml:space="preserve">　</w:t>
      </w:r>
      <w:r w:rsidR="00863F42" w:rsidRPr="003D6904">
        <w:rPr>
          <w:rFonts w:hAnsi="ＭＳ 明朝" w:hint="eastAsia"/>
          <w:spacing w:val="-20"/>
          <w:szCs w:val="24"/>
        </w:rPr>
        <w:t xml:space="preserve">　　</w:t>
      </w:r>
      <w:r w:rsidR="00894C15" w:rsidRPr="003D6904">
        <w:rPr>
          <w:rFonts w:hAnsi="ＭＳ 明朝" w:hint="eastAsia"/>
          <w:spacing w:val="-20"/>
          <w:szCs w:val="24"/>
        </w:rPr>
        <w:t xml:space="preserve"> </w:t>
      </w:r>
      <w:r w:rsidR="00863F42" w:rsidRPr="003D6904">
        <w:rPr>
          <w:rFonts w:hAnsi="ＭＳ 明朝" w:hint="eastAsia"/>
          <w:szCs w:val="24"/>
        </w:rPr>
        <w:t>これは主に、</w:t>
      </w:r>
      <w:r w:rsidR="00BF7BBD" w:rsidRPr="003D6904">
        <w:rPr>
          <w:rFonts w:hAnsi="ＭＳ 明朝" w:hint="eastAsia"/>
          <w:szCs w:val="24"/>
        </w:rPr>
        <w:t>国民健康保険事</w:t>
      </w:r>
      <w:r w:rsidR="00312463" w:rsidRPr="003D6904">
        <w:rPr>
          <w:rFonts w:hAnsi="ＭＳ 明朝" w:hint="eastAsia"/>
          <w:szCs w:val="24"/>
        </w:rPr>
        <w:t>業会計で</w:t>
      </w:r>
      <w:r w:rsidR="00BF7BBD" w:rsidRPr="003D6904">
        <w:rPr>
          <w:rFonts w:hAnsi="ＭＳ 明朝" w:hint="eastAsia"/>
          <w:szCs w:val="24"/>
        </w:rPr>
        <w:t>28,097</w:t>
      </w:r>
      <w:r w:rsidR="00312463" w:rsidRPr="003D6904">
        <w:rPr>
          <w:rFonts w:hAnsi="ＭＳ 明朝" w:hint="eastAsia"/>
          <w:szCs w:val="24"/>
        </w:rPr>
        <w:t>千円(</w:t>
      </w:r>
      <w:r w:rsidR="00BF7BBD" w:rsidRPr="003D6904">
        <w:rPr>
          <w:rFonts w:hAnsi="ＭＳ 明朝" w:hint="eastAsia"/>
          <w:szCs w:val="24"/>
        </w:rPr>
        <w:t>△2.4</w:t>
      </w:r>
      <w:r w:rsidR="00312463" w:rsidRPr="003D6904">
        <w:rPr>
          <w:rFonts w:hAnsi="ＭＳ 明朝" w:hint="eastAsia"/>
          <w:szCs w:val="24"/>
        </w:rPr>
        <w:t>％)減少したものの、</w:t>
      </w:r>
      <w:r w:rsidR="00225904" w:rsidRPr="003D6904">
        <w:rPr>
          <w:rFonts w:hAnsi="ＭＳ 明朝" w:hint="eastAsia"/>
          <w:szCs w:val="24"/>
        </w:rPr>
        <w:t>介護</w:t>
      </w:r>
      <w:r w:rsidR="00C25DBA" w:rsidRPr="003D6904">
        <w:rPr>
          <w:rFonts w:hAnsi="ＭＳ 明朝" w:hint="eastAsia"/>
          <w:szCs w:val="24"/>
        </w:rPr>
        <w:t>保険事業会計で</w:t>
      </w:r>
      <w:r w:rsidR="00BF7BBD" w:rsidRPr="003D6904">
        <w:rPr>
          <w:rFonts w:hAnsi="ＭＳ 明朝" w:hint="eastAsia"/>
          <w:szCs w:val="24"/>
        </w:rPr>
        <w:t>82,730</w:t>
      </w:r>
      <w:r w:rsidR="00C25DBA" w:rsidRPr="003D6904">
        <w:rPr>
          <w:rFonts w:hAnsi="ＭＳ 明朝" w:hint="eastAsia"/>
          <w:szCs w:val="24"/>
        </w:rPr>
        <w:t>千円(</w:t>
      </w:r>
      <w:r w:rsidR="00BF7BBD" w:rsidRPr="003D6904">
        <w:rPr>
          <w:rFonts w:hAnsi="ＭＳ 明朝" w:hint="eastAsia"/>
          <w:szCs w:val="24"/>
        </w:rPr>
        <w:t>3.1</w:t>
      </w:r>
      <w:r w:rsidR="00C25DBA" w:rsidRPr="003D6904">
        <w:rPr>
          <w:rFonts w:hAnsi="ＭＳ 明朝" w:hint="eastAsia"/>
          <w:szCs w:val="24"/>
        </w:rPr>
        <w:t>％)、</w:t>
      </w:r>
      <w:r w:rsidR="0094766B" w:rsidRPr="003D6904">
        <w:rPr>
          <w:rFonts w:hAnsi="ＭＳ 明朝" w:hint="eastAsia"/>
          <w:szCs w:val="24"/>
        </w:rPr>
        <w:t>後期高齢者医療事業会計</w:t>
      </w:r>
      <w:r w:rsidR="003500AE" w:rsidRPr="003D6904">
        <w:rPr>
          <w:rFonts w:hAnsi="ＭＳ 明朝" w:hint="eastAsia"/>
          <w:szCs w:val="24"/>
        </w:rPr>
        <w:t>で</w:t>
      </w:r>
      <w:r w:rsidR="0094766B" w:rsidRPr="003D6904">
        <w:rPr>
          <w:rFonts w:hAnsi="ＭＳ 明朝" w:hint="eastAsia"/>
          <w:szCs w:val="24"/>
        </w:rPr>
        <w:t>12,395</w:t>
      </w:r>
      <w:r w:rsidR="003500AE" w:rsidRPr="003D6904">
        <w:rPr>
          <w:rFonts w:hAnsi="ＭＳ 明朝" w:hint="eastAsia"/>
          <w:szCs w:val="24"/>
        </w:rPr>
        <w:t>千円</w:t>
      </w:r>
      <w:r w:rsidR="00894C15" w:rsidRPr="003D6904">
        <w:rPr>
          <w:rFonts w:hAnsi="ＭＳ 明朝" w:hint="eastAsia"/>
          <w:szCs w:val="24"/>
        </w:rPr>
        <w:t>(</w:t>
      </w:r>
      <w:r w:rsidR="0094766B" w:rsidRPr="003D6904">
        <w:rPr>
          <w:rFonts w:hAnsi="ＭＳ 明朝" w:hint="eastAsia"/>
          <w:szCs w:val="24"/>
        </w:rPr>
        <w:t>2.5</w:t>
      </w:r>
      <w:r w:rsidR="00894C15" w:rsidRPr="003D6904">
        <w:rPr>
          <w:rFonts w:hAnsi="ＭＳ 明朝" w:hint="eastAsia"/>
          <w:szCs w:val="24"/>
        </w:rPr>
        <w:t>％)</w:t>
      </w:r>
      <w:r w:rsidR="00894C15" w:rsidRPr="003500AE">
        <w:rPr>
          <w:rFonts w:hAnsi="ＭＳ 明朝" w:hint="eastAsia"/>
          <w:szCs w:val="24"/>
        </w:rPr>
        <w:t>それぞれ増加した</w:t>
      </w:r>
      <w:r w:rsidR="00945374" w:rsidRPr="003500AE">
        <w:rPr>
          <w:rFonts w:hAnsi="ＭＳ 明朝" w:hint="eastAsia"/>
          <w:szCs w:val="24"/>
        </w:rPr>
        <w:t>ことによるものである。</w:t>
      </w:r>
    </w:p>
    <w:p w:rsidR="00304CBC" w:rsidRPr="00945374"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p w:rsidR="00304CBC" w:rsidRDefault="008B41AE" w:rsidP="00304CBC">
      <w:pPr>
        <w:spacing w:line="240" w:lineRule="auto"/>
        <w:rPr>
          <w:rFonts w:hAnsi="ＭＳ 明朝"/>
          <w:szCs w:val="24"/>
        </w:rPr>
      </w:pPr>
      <w:r w:rsidRPr="0020002D">
        <w:rPr>
          <w:rFonts w:hAnsi="ＭＳ 明朝"/>
          <w:szCs w:val="24"/>
        </w:rPr>
        <w:pict>
          <v:shape id="_x0000_i1157" type="#_x0000_t75" style="width:480pt;height:238pt">
            <v:imagedata r:id="rId13" o:title=""/>
          </v:shape>
        </w:pi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690F08">
      <w:footerReference w:type="default" r:id="rId14"/>
      <w:pgSz w:w="11906" w:h="16838" w:code="9"/>
      <w:pgMar w:top="1134" w:right="1134" w:bottom="1134" w:left="1134" w:header="737" w:footer="680" w:gutter="0"/>
      <w:pgNumType w:fmt="numberInDash" w:start="2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65A" w:rsidRDefault="0049365A" w:rsidP="00255786">
      <w:pPr>
        <w:spacing w:line="240" w:lineRule="auto"/>
      </w:pPr>
      <w:r>
        <w:separator/>
      </w:r>
    </w:p>
  </w:endnote>
  <w:endnote w:type="continuationSeparator" w:id="0">
    <w:p w:rsidR="0049365A" w:rsidRDefault="0049365A"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052522"/>
      <w:docPartObj>
        <w:docPartGallery w:val="Page Numbers (Bottom of Page)"/>
        <w:docPartUnique/>
      </w:docPartObj>
    </w:sdtPr>
    <w:sdtContent>
      <w:p w:rsidR="00B753AB" w:rsidRDefault="00B753AB">
        <w:pPr>
          <w:pStyle w:val="a8"/>
          <w:jc w:val="center"/>
        </w:pPr>
        <w:r>
          <w:fldChar w:fldCharType="begin"/>
        </w:r>
        <w:r>
          <w:instrText>PAGE   \* MERGEFORMAT</w:instrText>
        </w:r>
        <w:r>
          <w:fldChar w:fldCharType="separate"/>
        </w:r>
        <w:r w:rsidRPr="00B753AB">
          <w:rPr>
            <w:noProof/>
            <w:lang w:val="ja-JP"/>
          </w:rPr>
          <w:t>-</w:t>
        </w:r>
        <w:r>
          <w:rPr>
            <w:noProof/>
          </w:rPr>
          <w:t xml:space="preserve"> 24 -</w:t>
        </w:r>
        <w:r>
          <w:fldChar w:fldCharType="end"/>
        </w:r>
      </w:p>
    </w:sdtContent>
  </w:sdt>
  <w:p w:rsidR="00B753AB" w:rsidRDefault="00B753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65A" w:rsidRDefault="0049365A" w:rsidP="00255786">
      <w:pPr>
        <w:spacing w:line="240" w:lineRule="auto"/>
      </w:pPr>
      <w:r>
        <w:separator/>
      </w:r>
    </w:p>
  </w:footnote>
  <w:footnote w:type="continuationSeparator" w:id="0">
    <w:p w:rsidR="0049365A" w:rsidRDefault="0049365A"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1061"/>
    <w:multiLevelType w:val="hybridMultilevel"/>
    <w:tmpl w:val="379A58C0"/>
    <w:lvl w:ilvl="0" w:tplc="0A5835FA">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508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39DC"/>
    <w:rsid w:val="00004538"/>
    <w:rsid w:val="00010829"/>
    <w:rsid w:val="00010908"/>
    <w:rsid w:val="00014B99"/>
    <w:rsid w:val="00014F3F"/>
    <w:rsid w:val="00017D00"/>
    <w:rsid w:val="00022002"/>
    <w:rsid w:val="000307AE"/>
    <w:rsid w:val="00036AF2"/>
    <w:rsid w:val="00040622"/>
    <w:rsid w:val="00040971"/>
    <w:rsid w:val="000432B6"/>
    <w:rsid w:val="0005124F"/>
    <w:rsid w:val="00052264"/>
    <w:rsid w:val="00057710"/>
    <w:rsid w:val="00060DC4"/>
    <w:rsid w:val="0007101A"/>
    <w:rsid w:val="0007131E"/>
    <w:rsid w:val="000749FA"/>
    <w:rsid w:val="00075E74"/>
    <w:rsid w:val="00077303"/>
    <w:rsid w:val="0008184B"/>
    <w:rsid w:val="000864ED"/>
    <w:rsid w:val="00086728"/>
    <w:rsid w:val="00093A0F"/>
    <w:rsid w:val="00094ABD"/>
    <w:rsid w:val="00097F9D"/>
    <w:rsid w:val="000A3482"/>
    <w:rsid w:val="000A36DB"/>
    <w:rsid w:val="000A383B"/>
    <w:rsid w:val="000A7168"/>
    <w:rsid w:val="000B3408"/>
    <w:rsid w:val="000B4B13"/>
    <w:rsid w:val="000C1AAB"/>
    <w:rsid w:val="000C351C"/>
    <w:rsid w:val="000C3FCC"/>
    <w:rsid w:val="000C4CD5"/>
    <w:rsid w:val="000C5110"/>
    <w:rsid w:val="000D614E"/>
    <w:rsid w:val="000E3EF6"/>
    <w:rsid w:val="000E69D3"/>
    <w:rsid w:val="000F0726"/>
    <w:rsid w:val="000F3636"/>
    <w:rsid w:val="00100F68"/>
    <w:rsid w:val="00110BE3"/>
    <w:rsid w:val="00121883"/>
    <w:rsid w:val="001232BD"/>
    <w:rsid w:val="00123B93"/>
    <w:rsid w:val="00125723"/>
    <w:rsid w:val="00126FB0"/>
    <w:rsid w:val="00127FD3"/>
    <w:rsid w:val="0013064C"/>
    <w:rsid w:val="00136C4C"/>
    <w:rsid w:val="001571F7"/>
    <w:rsid w:val="00157408"/>
    <w:rsid w:val="00157529"/>
    <w:rsid w:val="00160A32"/>
    <w:rsid w:val="00160DFA"/>
    <w:rsid w:val="0016279C"/>
    <w:rsid w:val="00164CD8"/>
    <w:rsid w:val="0016574A"/>
    <w:rsid w:val="00166096"/>
    <w:rsid w:val="001708FE"/>
    <w:rsid w:val="001745EA"/>
    <w:rsid w:val="00182661"/>
    <w:rsid w:val="0018610E"/>
    <w:rsid w:val="00187A10"/>
    <w:rsid w:val="00197E24"/>
    <w:rsid w:val="001A0A71"/>
    <w:rsid w:val="001A3825"/>
    <w:rsid w:val="001A3EAF"/>
    <w:rsid w:val="001A47BF"/>
    <w:rsid w:val="001A7C77"/>
    <w:rsid w:val="001B1BA4"/>
    <w:rsid w:val="001B3995"/>
    <w:rsid w:val="001C20F2"/>
    <w:rsid w:val="001D0A55"/>
    <w:rsid w:val="001D2BEE"/>
    <w:rsid w:val="001D683C"/>
    <w:rsid w:val="001D6DB7"/>
    <w:rsid w:val="001E0F7A"/>
    <w:rsid w:val="001E1429"/>
    <w:rsid w:val="001E7CE8"/>
    <w:rsid w:val="001F3E7A"/>
    <w:rsid w:val="0020002D"/>
    <w:rsid w:val="0020719E"/>
    <w:rsid w:val="00211CE6"/>
    <w:rsid w:val="00217F7F"/>
    <w:rsid w:val="002217B9"/>
    <w:rsid w:val="002231E7"/>
    <w:rsid w:val="00225763"/>
    <w:rsid w:val="00225904"/>
    <w:rsid w:val="002273E9"/>
    <w:rsid w:val="002302DF"/>
    <w:rsid w:val="00232714"/>
    <w:rsid w:val="00234B6F"/>
    <w:rsid w:val="00234EDB"/>
    <w:rsid w:val="00236B9D"/>
    <w:rsid w:val="00236FDE"/>
    <w:rsid w:val="00243119"/>
    <w:rsid w:val="002448D8"/>
    <w:rsid w:val="00245E54"/>
    <w:rsid w:val="00251B0A"/>
    <w:rsid w:val="0025399C"/>
    <w:rsid w:val="00253F9B"/>
    <w:rsid w:val="00255786"/>
    <w:rsid w:val="00257C6A"/>
    <w:rsid w:val="00262A79"/>
    <w:rsid w:val="002631AC"/>
    <w:rsid w:val="00264D9C"/>
    <w:rsid w:val="00270726"/>
    <w:rsid w:val="00271AD4"/>
    <w:rsid w:val="00272916"/>
    <w:rsid w:val="00275793"/>
    <w:rsid w:val="00276507"/>
    <w:rsid w:val="00282D27"/>
    <w:rsid w:val="00285984"/>
    <w:rsid w:val="002924D7"/>
    <w:rsid w:val="00293CE6"/>
    <w:rsid w:val="002959FA"/>
    <w:rsid w:val="002A46EF"/>
    <w:rsid w:val="002A6270"/>
    <w:rsid w:val="002B04D0"/>
    <w:rsid w:val="002C01E2"/>
    <w:rsid w:val="002C1266"/>
    <w:rsid w:val="002C1393"/>
    <w:rsid w:val="002C225B"/>
    <w:rsid w:val="002C4D2E"/>
    <w:rsid w:val="002D3248"/>
    <w:rsid w:val="002D62AE"/>
    <w:rsid w:val="002E03DB"/>
    <w:rsid w:val="002E0E87"/>
    <w:rsid w:val="002E61E9"/>
    <w:rsid w:val="002F11D5"/>
    <w:rsid w:val="002F1C2B"/>
    <w:rsid w:val="002F3B67"/>
    <w:rsid w:val="002F3CEE"/>
    <w:rsid w:val="003003B1"/>
    <w:rsid w:val="00304CBC"/>
    <w:rsid w:val="00311D03"/>
    <w:rsid w:val="00312463"/>
    <w:rsid w:val="00312C98"/>
    <w:rsid w:val="00315325"/>
    <w:rsid w:val="0031753D"/>
    <w:rsid w:val="003207B6"/>
    <w:rsid w:val="003260B1"/>
    <w:rsid w:val="00334B70"/>
    <w:rsid w:val="00334B95"/>
    <w:rsid w:val="003353F4"/>
    <w:rsid w:val="00336651"/>
    <w:rsid w:val="003412B0"/>
    <w:rsid w:val="003500AE"/>
    <w:rsid w:val="00352345"/>
    <w:rsid w:val="00353919"/>
    <w:rsid w:val="00356968"/>
    <w:rsid w:val="00362BD0"/>
    <w:rsid w:val="00366EC1"/>
    <w:rsid w:val="00370F62"/>
    <w:rsid w:val="00372608"/>
    <w:rsid w:val="00373E0F"/>
    <w:rsid w:val="003745C3"/>
    <w:rsid w:val="0037653F"/>
    <w:rsid w:val="003818C2"/>
    <w:rsid w:val="003838C6"/>
    <w:rsid w:val="003857C8"/>
    <w:rsid w:val="00386B48"/>
    <w:rsid w:val="00391058"/>
    <w:rsid w:val="00397AF8"/>
    <w:rsid w:val="003A0BF1"/>
    <w:rsid w:val="003B2FB9"/>
    <w:rsid w:val="003C1611"/>
    <w:rsid w:val="003C5589"/>
    <w:rsid w:val="003C5F70"/>
    <w:rsid w:val="003C6919"/>
    <w:rsid w:val="003D060D"/>
    <w:rsid w:val="003D6904"/>
    <w:rsid w:val="003D7FF4"/>
    <w:rsid w:val="003E7FE5"/>
    <w:rsid w:val="003F1D09"/>
    <w:rsid w:val="00401DA8"/>
    <w:rsid w:val="00403DE9"/>
    <w:rsid w:val="00414245"/>
    <w:rsid w:val="00414ACC"/>
    <w:rsid w:val="00415059"/>
    <w:rsid w:val="0041527E"/>
    <w:rsid w:val="00417FA9"/>
    <w:rsid w:val="00426405"/>
    <w:rsid w:val="0042749A"/>
    <w:rsid w:val="00431FDA"/>
    <w:rsid w:val="00432029"/>
    <w:rsid w:val="00432FF3"/>
    <w:rsid w:val="00434718"/>
    <w:rsid w:val="00434CBE"/>
    <w:rsid w:val="004375F0"/>
    <w:rsid w:val="00442A56"/>
    <w:rsid w:val="00444E87"/>
    <w:rsid w:val="004477B2"/>
    <w:rsid w:val="004538DF"/>
    <w:rsid w:val="004542D7"/>
    <w:rsid w:val="00461D6A"/>
    <w:rsid w:val="00476864"/>
    <w:rsid w:val="00477D0B"/>
    <w:rsid w:val="00484D77"/>
    <w:rsid w:val="0048517B"/>
    <w:rsid w:val="004873C2"/>
    <w:rsid w:val="0049365A"/>
    <w:rsid w:val="00493D0B"/>
    <w:rsid w:val="004A6D47"/>
    <w:rsid w:val="004B0588"/>
    <w:rsid w:val="004C2A49"/>
    <w:rsid w:val="004D0199"/>
    <w:rsid w:val="004D0B50"/>
    <w:rsid w:val="004D42A1"/>
    <w:rsid w:val="004D7457"/>
    <w:rsid w:val="004E07D0"/>
    <w:rsid w:val="004E2C8F"/>
    <w:rsid w:val="004E2DA6"/>
    <w:rsid w:val="004E4A70"/>
    <w:rsid w:val="004E703B"/>
    <w:rsid w:val="004F241D"/>
    <w:rsid w:val="004F3B1B"/>
    <w:rsid w:val="004F696C"/>
    <w:rsid w:val="005014DE"/>
    <w:rsid w:val="005055FB"/>
    <w:rsid w:val="00507A20"/>
    <w:rsid w:val="00511502"/>
    <w:rsid w:val="00522F91"/>
    <w:rsid w:val="0052455A"/>
    <w:rsid w:val="00527197"/>
    <w:rsid w:val="00533946"/>
    <w:rsid w:val="005344A4"/>
    <w:rsid w:val="00536DEE"/>
    <w:rsid w:val="00540382"/>
    <w:rsid w:val="0055129C"/>
    <w:rsid w:val="005552A3"/>
    <w:rsid w:val="005555BC"/>
    <w:rsid w:val="0055616E"/>
    <w:rsid w:val="005563E9"/>
    <w:rsid w:val="00556DFC"/>
    <w:rsid w:val="00561050"/>
    <w:rsid w:val="00564AE4"/>
    <w:rsid w:val="00572AEA"/>
    <w:rsid w:val="00580764"/>
    <w:rsid w:val="00583D7C"/>
    <w:rsid w:val="00584961"/>
    <w:rsid w:val="00591DC4"/>
    <w:rsid w:val="005946C5"/>
    <w:rsid w:val="0059493A"/>
    <w:rsid w:val="005A30DA"/>
    <w:rsid w:val="005A747F"/>
    <w:rsid w:val="005B0961"/>
    <w:rsid w:val="005B689A"/>
    <w:rsid w:val="005C6322"/>
    <w:rsid w:val="005C6C37"/>
    <w:rsid w:val="005C79E3"/>
    <w:rsid w:val="005D2D54"/>
    <w:rsid w:val="005F263B"/>
    <w:rsid w:val="005F5EE8"/>
    <w:rsid w:val="005F7B33"/>
    <w:rsid w:val="006072C0"/>
    <w:rsid w:val="006144E8"/>
    <w:rsid w:val="00615306"/>
    <w:rsid w:val="0061673A"/>
    <w:rsid w:val="006169B6"/>
    <w:rsid w:val="0061758A"/>
    <w:rsid w:val="00621B2A"/>
    <w:rsid w:val="0062344B"/>
    <w:rsid w:val="00625626"/>
    <w:rsid w:val="006264D2"/>
    <w:rsid w:val="006331D4"/>
    <w:rsid w:val="006350DD"/>
    <w:rsid w:val="00637BA3"/>
    <w:rsid w:val="006404E2"/>
    <w:rsid w:val="00654FC7"/>
    <w:rsid w:val="00660222"/>
    <w:rsid w:val="00661400"/>
    <w:rsid w:val="0066694B"/>
    <w:rsid w:val="006709F1"/>
    <w:rsid w:val="00670C51"/>
    <w:rsid w:val="0067194E"/>
    <w:rsid w:val="006731A9"/>
    <w:rsid w:val="00675679"/>
    <w:rsid w:val="00677410"/>
    <w:rsid w:val="006822E4"/>
    <w:rsid w:val="00684632"/>
    <w:rsid w:val="00684AA2"/>
    <w:rsid w:val="006906BC"/>
    <w:rsid w:val="00690F08"/>
    <w:rsid w:val="006928E0"/>
    <w:rsid w:val="00692B80"/>
    <w:rsid w:val="0069724D"/>
    <w:rsid w:val="006A53A0"/>
    <w:rsid w:val="006A6C44"/>
    <w:rsid w:val="006A6F69"/>
    <w:rsid w:val="006B3CDD"/>
    <w:rsid w:val="006B46EB"/>
    <w:rsid w:val="006B7AF6"/>
    <w:rsid w:val="006C2985"/>
    <w:rsid w:val="006C3426"/>
    <w:rsid w:val="006C48CB"/>
    <w:rsid w:val="006C687B"/>
    <w:rsid w:val="006D047F"/>
    <w:rsid w:val="006D2A63"/>
    <w:rsid w:val="006D6FD3"/>
    <w:rsid w:val="006E127E"/>
    <w:rsid w:val="006E3959"/>
    <w:rsid w:val="006E4868"/>
    <w:rsid w:val="006F0C08"/>
    <w:rsid w:val="006F31A1"/>
    <w:rsid w:val="006F72B1"/>
    <w:rsid w:val="0070219E"/>
    <w:rsid w:val="00704041"/>
    <w:rsid w:val="00711008"/>
    <w:rsid w:val="00715148"/>
    <w:rsid w:val="00720D83"/>
    <w:rsid w:val="00720DC2"/>
    <w:rsid w:val="00731127"/>
    <w:rsid w:val="00735758"/>
    <w:rsid w:val="00737622"/>
    <w:rsid w:val="00737779"/>
    <w:rsid w:val="007612C7"/>
    <w:rsid w:val="0076296C"/>
    <w:rsid w:val="00765420"/>
    <w:rsid w:val="00766415"/>
    <w:rsid w:val="00766C5A"/>
    <w:rsid w:val="00772FAE"/>
    <w:rsid w:val="00777919"/>
    <w:rsid w:val="00780503"/>
    <w:rsid w:val="00796611"/>
    <w:rsid w:val="007A75FE"/>
    <w:rsid w:val="007B05E8"/>
    <w:rsid w:val="007B0AD8"/>
    <w:rsid w:val="007B5FC8"/>
    <w:rsid w:val="007B62CB"/>
    <w:rsid w:val="007C54F4"/>
    <w:rsid w:val="007C5675"/>
    <w:rsid w:val="007C5A44"/>
    <w:rsid w:val="007D0816"/>
    <w:rsid w:val="007D28B6"/>
    <w:rsid w:val="007D5C91"/>
    <w:rsid w:val="007E44CD"/>
    <w:rsid w:val="007E46BA"/>
    <w:rsid w:val="007E5EC0"/>
    <w:rsid w:val="007E6D71"/>
    <w:rsid w:val="007F48DE"/>
    <w:rsid w:val="007F49A3"/>
    <w:rsid w:val="007F6F37"/>
    <w:rsid w:val="00802FDB"/>
    <w:rsid w:val="00804F46"/>
    <w:rsid w:val="00811C79"/>
    <w:rsid w:val="00817E84"/>
    <w:rsid w:val="00821B8F"/>
    <w:rsid w:val="0083230F"/>
    <w:rsid w:val="00832F1A"/>
    <w:rsid w:val="008359B4"/>
    <w:rsid w:val="00837817"/>
    <w:rsid w:val="008463AA"/>
    <w:rsid w:val="00846C3F"/>
    <w:rsid w:val="00847E9D"/>
    <w:rsid w:val="008562DE"/>
    <w:rsid w:val="00860DA1"/>
    <w:rsid w:val="00862232"/>
    <w:rsid w:val="00863F42"/>
    <w:rsid w:val="008648B0"/>
    <w:rsid w:val="00867E83"/>
    <w:rsid w:val="00872EA2"/>
    <w:rsid w:val="00875CF2"/>
    <w:rsid w:val="008779CE"/>
    <w:rsid w:val="00882E5D"/>
    <w:rsid w:val="00884518"/>
    <w:rsid w:val="00885963"/>
    <w:rsid w:val="00885FDC"/>
    <w:rsid w:val="00887348"/>
    <w:rsid w:val="008915FE"/>
    <w:rsid w:val="008946D0"/>
    <w:rsid w:val="00894C15"/>
    <w:rsid w:val="008953F7"/>
    <w:rsid w:val="00896AC2"/>
    <w:rsid w:val="008A0F98"/>
    <w:rsid w:val="008A14EF"/>
    <w:rsid w:val="008A5C5D"/>
    <w:rsid w:val="008A6905"/>
    <w:rsid w:val="008B41AE"/>
    <w:rsid w:val="008B74AE"/>
    <w:rsid w:val="008C1445"/>
    <w:rsid w:val="008D09D2"/>
    <w:rsid w:val="008E5F87"/>
    <w:rsid w:val="008E7A62"/>
    <w:rsid w:val="008F33D1"/>
    <w:rsid w:val="008F3EDB"/>
    <w:rsid w:val="008F6C0E"/>
    <w:rsid w:val="008F7EDB"/>
    <w:rsid w:val="00905783"/>
    <w:rsid w:val="009136B9"/>
    <w:rsid w:val="009245A4"/>
    <w:rsid w:val="0092507A"/>
    <w:rsid w:val="009250B5"/>
    <w:rsid w:val="009268DF"/>
    <w:rsid w:val="00926CFD"/>
    <w:rsid w:val="00930752"/>
    <w:rsid w:val="00935979"/>
    <w:rsid w:val="00935FD8"/>
    <w:rsid w:val="00935FFA"/>
    <w:rsid w:val="00940888"/>
    <w:rsid w:val="00940C93"/>
    <w:rsid w:val="00945374"/>
    <w:rsid w:val="0094766B"/>
    <w:rsid w:val="00952E82"/>
    <w:rsid w:val="00953201"/>
    <w:rsid w:val="00954FDD"/>
    <w:rsid w:val="00962E0A"/>
    <w:rsid w:val="00964306"/>
    <w:rsid w:val="0096675B"/>
    <w:rsid w:val="00981576"/>
    <w:rsid w:val="00984C89"/>
    <w:rsid w:val="00986458"/>
    <w:rsid w:val="00997607"/>
    <w:rsid w:val="009A3A49"/>
    <w:rsid w:val="009B311F"/>
    <w:rsid w:val="009C1A54"/>
    <w:rsid w:val="009C6818"/>
    <w:rsid w:val="009D1570"/>
    <w:rsid w:val="009E4B14"/>
    <w:rsid w:val="009E5570"/>
    <w:rsid w:val="009F3A83"/>
    <w:rsid w:val="00A01F67"/>
    <w:rsid w:val="00A039CC"/>
    <w:rsid w:val="00A03EF6"/>
    <w:rsid w:val="00A059D9"/>
    <w:rsid w:val="00A06829"/>
    <w:rsid w:val="00A07F3F"/>
    <w:rsid w:val="00A12A8C"/>
    <w:rsid w:val="00A13A21"/>
    <w:rsid w:val="00A13D80"/>
    <w:rsid w:val="00A14B1F"/>
    <w:rsid w:val="00A14E64"/>
    <w:rsid w:val="00A224E2"/>
    <w:rsid w:val="00A35310"/>
    <w:rsid w:val="00A365E6"/>
    <w:rsid w:val="00A44A0B"/>
    <w:rsid w:val="00A44E93"/>
    <w:rsid w:val="00A463BC"/>
    <w:rsid w:val="00A53042"/>
    <w:rsid w:val="00A548EC"/>
    <w:rsid w:val="00A57805"/>
    <w:rsid w:val="00A65A0C"/>
    <w:rsid w:val="00A661D1"/>
    <w:rsid w:val="00A6708F"/>
    <w:rsid w:val="00A721E4"/>
    <w:rsid w:val="00A742A2"/>
    <w:rsid w:val="00A74648"/>
    <w:rsid w:val="00A75391"/>
    <w:rsid w:val="00A77BB4"/>
    <w:rsid w:val="00A833D9"/>
    <w:rsid w:val="00A83DAE"/>
    <w:rsid w:val="00A84744"/>
    <w:rsid w:val="00A90C8C"/>
    <w:rsid w:val="00A90CC4"/>
    <w:rsid w:val="00A9426D"/>
    <w:rsid w:val="00AA0834"/>
    <w:rsid w:val="00AA6F01"/>
    <w:rsid w:val="00AB21FD"/>
    <w:rsid w:val="00AB365F"/>
    <w:rsid w:val="00AC0D4E"/>
    <w:rsid w:val="00AD760A"/>
    <w:rsid w:val="00AD7A36"/>
    <w:rsid w:val="00AE2703"/>
    <w:rsid w:val="00AF4385"/>
    <w:rsid w:val="00B00650"/>
    <w:rsid w:val="00B068C1"/>
    <w:rsid w:val="00B10223"/>
    <w:rsid w:val="00B177E8"/>
    <w:rsid w:val="00B2463B"/>
    <w:rsid w:val="00B3023C"/>
    <w:rsid w:val="00B31D91"/>
    <w:rsid w:val="00B3389C"/>
    <w:rsid w:val="00B35E57"/>
    <w:rsid w:val="00B47237"/>
    <w:rsid w:val="00B5035C"/>
    <w:rsid w:val="00B50D23"/>
    <w:rsid w:val="00B53D6F"/>
    <w:rsid w:val="00B55124"/>
    <w:rsid w:val="00B551C8"/>
    <w:rsid w:val="00B60D86"/>
    <w:rsid w:val="00B6379B"/>
    <w:rsid w:val="00B645F9"/>
    <w:rsid w:val="00B64FA3"/>
    <w:rsid w:val="00B67DAE"/>
    <w:rsid w:val="00B71B06"/>
    <w:rsid w:val="00B72547"/>
    <w:rsid w:val="00B753AB"/>
    <w:rsid w:val="00B754F1"/>
    <w:rsid w:val="00B86D49"/>
    <w:rsid w:val="00B9085A"/>
    <w:rsid w:val="00B90FA5"/>
    <w:rsid w:val="00B977EE"/>
    <w:rsid w:val="00BA089D"/>
    <w:rsid w:val="00BA4810"/>
    <w:rsid w:val="00BA48E0"/>
    <w:rsid w:val="00BD1340"/>
    <w:rsid w:val="00BD4BD4"/>
    <w:rsid w:val="00BE10FE"/>
    <w:rsid w:val="00BE295E"/>
    <w:rsid w:val="00BE7E1A"/>
    <w:rsid w:val="00BF0B68"/>
    <w:rsid w:val="00BF0D33"/>
    <w:rsid w:val="00BF4DF5"/>
    <w:rsid w:val="00BF758F"/>
    <w:rsid w:val="00BF7BBD"/>
    <w:rsid w:val="00C002C0"/>
    <w:rsid w:val="00C10690"/>
    <w:rsid w:val="00C1095E"/>
    <w:rsid w:val="00C14A7D"/>
    <w:rsid w:val="00C1585A"/>
    <w:rsid w:val="00C1598A"/>
    <w:rsid w:val="00C16FD6"/>
    <w:rsid w:val="00C20196"/>
    <w:rsid w:val="00C20482"/>
    <w:rsid w:val="00C25B8B"/>
    <w:rsid w:val="00C25DBA"/>
    <w:rsid w:val="00C26EAE"/>
    <w:rsid w:val="00C3423B"/>
    <w:rsid w:val="00C40389"/>
    <w:rsid w:val="00C46A56"/>
    <w:rsid w:val="00C53B01"/>
    <w:rsid w:val="00C56426"/>
    <w:rsid w:val="00C63495"/>
    <w:rsid w:val="00C71DFC"/>
    <w:rsid w:val="00C71ECE"/>
    <w:rsid w:val="00C73C8A"/>
    <w:rsid w:val="00C75818"/>
    <w:rsid w:val="00C76C6A"/>
    <w:rsid w:val="00C81325"/>
    <w:rsid w:val="00C815FE"/>
    <w:rsid w:val="00C8220D"/>
    <w:rsid w:val="00C8238E"/>
    <w:rsid w:val="00C87D72"/>
    <w:rsid w:val="00C92B14"/>
    <w:rsid w:val="00C96678"/>
    <w:rsid w:val="00CA26AA"/>
    <w:rsid w:val="00CB1657"/>
    <w:rsid w:val="00CB4B11"/>
    <w:rsid w:val="00CC3AA8"/>
    <w:rsid w:val="00CC3FCE"/>
    <w:rsid w:val="00CD7FA6"/>
    <w:rsid w:val="00CF0CB4"/>
    <w:rsid w:val="00D03BC9"/>
    <w:rsid w:val="00D0628C"/>
    <w:rsid w:val="00D10EA7"/>
    <w:rsid w:val="00D1612A"/>
    <w:rsid w:val="00D17F01"/>
    <w:rsid w:val="00D202EE"/>
    <w:rsid w:val="00D2270B"/>
    <w:rsid w:val="00D22726"/>
    <w:rsid w:val="00D241C3"/>
    <w:rsid w:val="00D245CC"/>
    <w:rsid w:val="00D276CD"/>
    <w:rsid w:val="00D31ACA"/>
    <w:rsid w:val="00D31E2A"/>
    <w:rsid w:val="00D364E8"/>
    <w:rsid w:val="00D40067"/>
    <w:rsid w:val="00D406A2"/>
    <w:rsid w:val="00D4491C"/>
    <w:rsid w:val="00D45317"/>
    <w:rsid w:val="00D53DCE"/>
    <w:rsid w:val="00D55FB2"/>
    <w:rsid w:val="00D67ADE"/>
    <w:rsid w:val="00D7451C"/>
    <w:rsid w:val="00D75108"/>
    <w:rsid w:val="00D91257"/>
    <w:rsid w:val="00D91F67"/>
    <w:rsid w:val="00D932C5"/>
    <w:rsid w:val="00D9604A"/>
    <w:rsid w:val="00DA2044"/>
    <w:rsid w:val="00DB07D7"/>
    <w:rsid w:val="00DB7E3E"/>
    <w:rsid w:val="00DC1DB9"/>
    <w:rsid w:val="00DC50CB"/>
    <w:rsid w:val="00DC60DF"/>
    <w:rsid w:val="00DD0C22"/>
    <w:rsid w:val="00DD10E2"/>
    <w:rsid w:val="00DD35E5"/>
    <w:rsid w:val="00DD5684"/>
    <w:rsid w:val="00DE1A41"/>
    <w:rsid w:val="00DF045E"/>
    <w:rsid w:val="00DF2819"/>
    <w:rsid w:val="00DF68C1"/>
    <w:rsid w:val="00DF71C4"/>
    <w:rsid w:val="00DF7EDB"/>
    <w:rsid w:val="00E00596"/>
    <w:rsid w:val="00E00642"/>
    <w:rsid w:val="00E01DDE"/>
    <w:rsid w:val="00E0332F"/>
    <w:rsid w:val="00E056B3"/>
    <w:rsid w:val="00E07625"/>
    <w:rsid w:val="00E12F81"/>
    <w:rsid w:val="00E1509D"/>
    <w:rsid w:val="00E21456"/>
    <w:rsid w:val="00E2184A"/>
    <w:rsid w:val="00E23113"/>
    <w:rsid w:val="00E2436B"/>
    <w:rsid w:val="00E278A6"/>
    <w:rsid w:val="00E34E0A"/>
    <w:rsid w:val="00E34F00"/>
    <w:rsid w:val="00E358CF"/>
    <w:rsid w:val="00E3679A"/>
    <w:rsid w:val="00E36C23"/>
    <w:rsid w:val="00E421A3"/>
    <w:rsid w:val="00E447AA"/>
    <w:rsid w:val="00E44D5E"/>
    <w:rsid w:val="00E471DC"/>
    <w:rsid w:val="00E471FC"/>
    <w:rsid w:val="00E5216D"/>
    <w:rsid w:val="00E6241F"/>
    <w:rsid w:val="00E70C0A"/>
    <w:rsid w:val="00E717E8"/>
    <w:rsid w:val="00E75789"/>
    <w:rsid w:val="00E779AB"/>
    <w:rsid w:val="00E80256"/>
    <w:rsid w:val="00E80ABC"/>
    <w:rsid w:val="00E92578"/>
    <w:rsid w:val="00E9457B"/>
    <w:rsid w:val="00E96DBC"/>
    <w:rsid w:val="00E97DBA"/>
    <w:rsid w:val="00EA54C2"/>
    <w:rsid w:val="00EA6698"/>
    <w:rsid w:val="00EB55D4"/>
    <w:rsid w:val="00EC0D56"/>
    <w:rsid w:val="00EC4E07"/>
    <w:rsid w:val="00EC52A5"/>
    <w:rsid w:val="00ED4B83"/>
    <w:rsid w:val="00EE1D46"/>
    <w:rsid w:val="00EE1D47"/>
    <w:rsid w:val="00EE4BC8"/>
    <w:rsid w:val="00EF33DB"/>
    <w:rsid w:val="00EF416C"/>
    <w:rsid w:val="00EF5C0B"/>
    <w:rsid w:val="00EF7803"/>
    <w:rsid w:val="00EF7B28"/>
    <w:rsid w:val="00F06656"/>
    <w:rsid w:val="00F0696A"/>
    <w:rsid w:val="00F06ADF"/>
    <w:rsid w:val="00F11BD5"/>
    <w:rsid w:val="00F133FE"/>
    <w:rsid w:val="00F17752"/>
    <w:rsid w:val="00F208BF"/>
    <w:rsid w:val="00F23E48"/>
    <w:rsid w:val="00F32EF5"/>
    <w:rsid w:val="00F37954"/>
    <w:rsid w:val="00F400F5"/>
    <w:rsid w:val="00F47316"/>
    <w:rsid w:val="00F50560"/>
    <w:rsid w:val="00F51468"/>
    <w:rsid w:val="00F60A27"/>
    <w:rsid w:val="00F70226"/>
    <w:rsid w:val="00F73588"/>
    <w:rsid w:val="00F764A9"/>
    <w:rsid w:val="00F810D6"/>
    <w:rsid w:val="00F8340E"/>
    <w:rsid w:val="00F92026"/>
    <w:rsid w:val="00F952D5"/>
    <w:rsid w:val="00F97589"/>
    <w:rsid w:val="00FC1344"/>
    <w:rsid w:val="00FC62A9"/>
    <w:rsid w:val="00FC666F"/>
    <w:rsid w:val="00FC781B"/>
    <w:rsid w:val="00FD035C"/>
    <w:rsid w:val="00FD0561"/>
    <w:rsid w:val="00FE55C7"/>
    <w:rsid w:val="00FE5FFF"/>
    <w:rsid w:val="00FF0007"/>
    <w:rsid w:val="00FF411A"/>
    <w:rsid w:val="00FF5F7D"/>
    <w:rsid w:val="00FF657A"/>
    <w:rsid w:val="00FF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8929">
      <v:textbox inset="5.85pt,.7pt,5.85pt,.7pt"/>
    </o:shapedefaults>
    <o:shapelayout v:ext="edit">
      <o:idmap v:ext="edit" data="1"/>
    </o:shapelayout>
  </w:shapeDefaults>
  <w:decimalSymbol w:val="."/>
  <w:listSeparator w:val=","/>
  <w14:docId w14:val="59C31803"/>
  <w15:docId w15:val="{49BD651B-392F-472C-9548-9186D5AA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List Paragraph"/>
    <w:basedOn w:val="a"/>
    <w:uiPriority w:val="34"/>
    <w:qFormat/>
    <w:rsid w:val="00285984"/>
    <w:pPr>
      <w:ind w:leftChars="400" w:left="840"/>
    </w:pPr>
  </w:style>
  <w:style w:type="character" w:styleId="ab">
    <w:name w:val="Strong"/>
    <w:basedOn w:val="a0"/>
    <w:uiPriority w:val="22"/>
    <w:qFormat/>
    <w:rsid w:val="00690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170538867826709"/>
          <c:y val="0.22517996439256283"/>
          <c:w val="0.50061388159813358"/>
          <c:h val="0.75617201695941849"/>
        </c:manualLayout>
      </c:layout>
      <c:pieChart>
        <c:varyColors val="1"/>
        <c:ser>
          <c:idx val="1"/>
          <c:order val="0"/>
          <c:tx>
            <c:strRef>
              <c:f>Sheet1!$A$2</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0-CD70-4983-AE1D-E6F1C8ECB2CD}"/>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CD70-4983-AE1D-E6F1C8ECB2CD}"/>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2-CD70-4983-AE1D-E6F1C8ECB2CD}"/>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3-CD70-4983-AE1D-E6F1C8ECB2CD}"/>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4-CD70-4983-AE1D-E6F1C8ECB2CD}"/>
              </c:ext>
            </c:extLst>
          </c:dPt>
          <c:dPt>
            <c:idx val="6"/>
            <c:bubble3D val="0"/>
            <c:spPr>
              <a:solidFill>
                <a:srgbClr val="0066CC"/>
              </a:solidFill>
              <a:ln w="12700">
                <a:solidFill>
                  <a:srgbClr val="000000"/>
                </a:solidFill>
                <a:prstDash val="solid"/>
              </a:ln>
            </c:spPr>
            <c:extLst>
              <c:ext xmlns:c16="http://schemas.microsoft.com/office/drawing/2014/chart" uri="{C3380CC4-5D6E-409C-BE32-E72D297353CC}">
                <c16:uniqueId val="{00000005-CD70-4983-AE1D-E6F1C8ECB2CD}"/>
              </c:ext>
            </c:extLst>
          </c:dPt>
          <c:dPt>
            <c:idx val="7"/>
            <c:bubble3D val="0"/>
            <c:spPr>
              <a:solidFill>
                <a:srgbClr val="CCCCFF"/>
              </a:solidFill>
              <a:ln w="12700">
                <a:solidFill>
                  <a:srgbClr val="000000"/>
                </a:solidFill>
                <a:prstDash val="solid"/>
              </a:ln>
            </c:spPr>
            <c:extLst>
              <c:ext xmlns:c16="http://schemas.microsoft.com/office/drawing/2014/chart" uri="{C3380CC4-5D6E-409C-BE32-E72D297353CC}">
                <c16:uniqueId val="{00000006-CD70-4983-AE1D-E6F1C8ECB2CD}"/>
              </c:ext>
            </c:extLst>
          </c:dPt>
          <c:dPt>
            <c:idx val="8"/>
            <c:bubble3D val="0"/>
            <c:spPr>
              <a:solidFill>
                <a:srgbClr val="000080"/>
              </a:solidFill>
              <a:ln w="12700">
                <a:solidFill>
                  <a:srgbClr val="000000"/>
                </a:solidFill>
                <a:prstDash val="solid"/>
              </a:ln>
            </c:spPr>
            <c:extLst>
              <c:ext xmlns:c16="http://schemas.microsoft.com/office/drawing/2014/chart" uri="{C3380CC4-5D6E-409C-BE32-E72D297353CC}">
                <c16:uniqueId val="{00000007-CD70-4983-AE1D-E6F1C8ECB2CD}"/>
              </c:ext>
            </c:extLst>
          </c:dPt>
          <c:dPt>
            <c:idx val="9"/>
            <c:bubble3D val="0"/>
            <c:spPr>
              <a:solidFill>
                <a:srgbClr val="FF00FF"/>
              </a:solidFill>
              <a:ln w="12700">
                <a:solidFill>
                  <a:srgbClr val="000000"/>
                </a:solidFill>
                <a:prstDash val="solid"/>
              </a:ln>
            </c:spPr>
            <c:extLst>
              <c:ext xmlns:c16="http://schemas.microsoft.com/office/drawing/2014/chart" uri="{C3380CC4-5D6E-409C-BE32-E72D297353CC}">
                <c16:uniqueId val="{00000008-CD70-4983-AE1D-E6F1C8ECB2CD}"/>
              </c:ext>
            </c:extLst>
          </c:dPt>
          <c:dLbls>
            <c:dLbl>
              <c:idx val="0"/>
              <c:layout>
                <c:manualLayout>
                  <c:x val="-0.21392080619552187"/>
                  <c:y val="0.44658284847261215"/>
                </c:manualLayout>
              </c:layout>
              <c:tx>
                <c:rich>
                  <a:bodyPr/>
                  <a:lstStyle/>
                  <a:p>
                    <a:r>
                      <a:rPr lang="ja-JP" altLang="en-US"/>
                      <a:t>民生費</a:t>
                    </a:r>
                    <a:r>
                      <a:rPr lang="en-US" altLang="ja-JP"/>
                      <a:t>26.8(35.3)</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D70-4983-AE1D-E6F1C8ECB2CD}"/>
                </c:ext>
              </c:extLst>
            </c:dLbl>
            <c:dLbl>
              <c:idx val="1"/>
              <c:layout>
                <c:manualLayout>
                  <c:x val="-0.30182058261235861"/>
                  <c:y val="-0.16542530085837173"/>
                </c:manualLayout>
              </c:layout>
              <c:tx>
                <c:rich>
                  <a:bodyPr/>
                  <a:lstStyle/>
                  <a:p>
                    <a:r>
                      <a:rPr lang="ja-JP" altLang="en-US"/>
                      <a:t>公債費</a:t>
                    </a:r>
                  </a:p>
                  <a:p>
                    <a:r>
                      <a:rPr lang="en-US" altLang="ja-JP"/>
                      <a:t>12.2(15.5) </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1471193415637861"/>
                      <c:h val="9.1250971250971258E-2"/>
                    </c:manualLayout>
                  </c15:layout>
                </c:ext>
                <c:ext xmlns:c16="http://schemas.microsoft.com/office/drawing/2014/chart" uri="{C3380CC4-5D6E-409C-BE32-E72D297353CC}">
                  <c16:uniqueId val="{00000009-CD70-4983-AE1D-E6F1C8ECB2CD}"/>
                </c:ext>
              </c:extLst>
            </c:dLbl>
            <c:dLbl>
              <c:idx val="2"/>
              <c:layout>
                <c:manualLayout>
                  <c:x val="0.39177149152652208"/>
                  <c:y val="-0.4126160453719509"/>
                </c:manualLayout>
              </c:layout>
              <c:tx>
                <c:rich>
                  <a:bodyPr/>
                  <a:lstStyle/>
                  <a:p>
                    <a:r>
                      <a:rPr lang="ja-JP" altLang="en-US"/>
                      <a:t>総務費</a:t>
                    </a:r>
                    <a:r>
                      <a:rPr lang="en-US" altLang="ja-JP"/>
                      <a:t>29.1(8.9</a:t>
                    </a:r>
                    <a:r>
                      <a:rPr lang="ja-JP" altLang="en-US"/>
                      <a:t>）</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728395061728395"/>
                      <c:h val="5.1841491841491845E-2"/>
                    </c:manualLayout>
                  </c15:layout>
                </c:ext>
                <c:ext xmlns:c16="http://schemas.microsoft.com/office/drawing/2014/chart" uri="{C3380CC4-5D6E-409C-BE32-E72D297353CC}">
                  <c16:uniqueId val="{00000001-CD70-4983-AE1D-E6F1C8ECB2CD}"/>
                </c:ext>
              </c:extLst>
            </c:dLbl>
            <c:dLbl>
              <c:idx val="3"/>
              <c:layout>
                <c:manualLayout>
                  <c:x val="0.19789848028255727"/>
                  <c:y val="-2.6483123176036676E-2"/>
                </c:manualLayout>
              </c:layout>
              <c:tx>
                <c:rich>
                  <a:bodyPr/>
                  <a:lstStyle/>
                  <a:p>
                    <a:r>
                      <a:rPr lang="ja-JP" altLang="en-US"/>
                      <a:t>土木費</a:t>
                    </a:r>
                    <a:r>
                      <a:rPr lang="en-US" altLang="ja-JP"/>
                      <a:t>10.5(12.5)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D70-4983-AE1D-E6F1C8ECB2CD}"/>
                </c:ext>
              </c:extLst>
            </c:dLbl>
            <c:dLbl>
              <c:idx val="4"/>
              <c:layout>
                <c:manualLayout>
                  <c:x val="-2.3330417031204451E-2"/>
                  <c:y val="6.887530667058224E-3"/>
                </c:manualLayout>
              </c:layout>
              <c:tx>
                <c:rich>
                  <a:bodyPr/>
                  <a:lstStyle/>
                  <a:p>
                    <a:r>
                      <a:rPr lang="ja-JP" altLang="en-US"/>
                      <a:t>教育費</a:t>
                    </a:r>
                    <a:r>
                      <a:rPr lang="en-US" altLang="ja-JP"/>
                      <a:t>6.1(8.4) </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5277777777777779"/>
                      <c:h val="6.427350427350427E-2"/>
                    </c:manualLayout>
                  </c15:layout>
                </c:ext>
                <c:ext xmlns:c16="http://schemas.microsoft.com/office/drawing/2014/chart" uri="{C3380CC4-5D6E-409C-BE32-E72D297353CC}">
                  <c16:uniqueId val="{00000003-CD70-4983-AE1D-E6F1C8ECB2CD}"/>
                </c:ext>
              </c:extLst>
            </c:dLbl>
            <c:dLbl>
              <c:idx val="5"/>
              <c:layout>
                <c:manualLayout>
                  <c:x val="-3.0780272836265839E-2"/>
                  <c:y val="2.169630894040343E-2"/>
                </c:manualLayout>
              </c:layout>
              <c:tx>
                <c:rich>
                  <a:bodyPr/>
                  <a:lstStyle/>
                  <a:p>
                    <a:r>
                      <a:rPr lang="ja-JP" altLang="en-US"/>
                      <a:t>商工費</a:t>
                    </a:r>
                    <a:r>
                      <a:rPr lang="en-US" altLang="ja-JP"/>
                      <a:t>5.4(6.4)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D70-4983-AE1D-E6F1C8ECB2CD}"/>
                </c:ext>
              </c:extLst>
            </c:dLbl>
            <c:dLbl>
              <c:idx val="6"/>
              <c:layout>
                <c:manualLayout>
                  <c:x val="-3.7706328375619755E-2"/>
                  <c:y val="4.2545381128058259E-3"/>
                </c:manualLayout>
              </c:layout>
              <c:tx>
                <c:rich>
                  <a:bodyPr/>
                  <a:lstStyle/>
                  <a:p>
                    <a:r>
                      <a:rPr lang="ja-JP" altLang="en-US"/>
                      <a:t>衛生費</a:t>
                    </a:r>
                    <a:r>
                      <a:rPr lang="en-US" altLang="ja-JP"/>
                      <a:t>5.4(7.2) </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5277777777777779"/>
                      <c:h val="6.1165501165501159E-2"/>
                    </c:manualLayout>
                  </c15:layout>
                </c:ext>
                <c:ext xmlns:c16="http://schemas.microsoft.com/office/drawing/2014/chart" uri="{C3380CC4-5D6E-409C-BE32-E72D297353CC}">
                  <c16:uniqueId val="{00000005-CD70-4983-AE1D-E6F1C8ECB2CD}"/>
                </c:ext>
              </c:extLst>
            </c:dLbl>
            <c:dLbl>
              <c:idx val="7"/>
              <c:layout>
                <c:manualLayout>
                  <c:x val="-0.10873918537960532"/>
                  <c:y val="-3.6824208162790854E-2"/>
                </c:manualLayout>
              </c:layout>
              <c:tx>
                <c:rich>
                  <a:bodyPr/>
                  <a:lstStyle/>
                  <a:p>
                    <a:r>
                      <a:rPr lang="ja-JP" altLang="en-US"/>
                      <a:t>消防費</a:t>
                    </a:r>
                    <a:r>
                      <a:rPr lang="en-US" altLang="ja-JP"/>
                      <a:t>2.7(3.4) </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5277777777777779"/>
                      <c:h val="6.7381507381507388E-2"/>
                    </c:manualLayout>
                  </c15:layout>
                </c:ext>
                <c:ext xmlns:c16="http://schemas.microsoft.com/office/drawing/2014/chart" uri="{C3380CC4-5D6E-409C-BE32-E72D297353CC}">
                  <c16:uniqueId val="{00000006-CD70-4983-AE1D-E6F1C8ECB2CD}"/>
                </c:ext>
              </c:extLst>
            </c:dLbl>
            <c:dLbl>
              <c:idx val="8"/>
              <c:layout>
                <c:manualLayout>
                  <c:x val="-1.885097696121318E-2"/>
                  <c:y val="-7.9384762219407892E-2"/>
                </c:manualLayout>
              </c:layout>
              <c:tx>
                <c:rich>
                  <a:bodyPr/>
                  <a:lstStyle/>
                  <a:p>
                    <a:r>
                      <a:rPr lang="ja-JP" altLang="en-US"/>
                      <a:t>農林水産業費</a:t>
                    </a:r>
                    <a:r>
                      <a:rPr lang="en-US" altLang="ja-JP"/>
                      <a:t>1.1(1.5)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D70-4983-AE1D-E6F1C8ECB2CD}"/>
                </c:ext>
              </c:extLst>
            </c:dLbl>
            <c:dLbl>
              <c:idx val="9"/>
              <c:layout>
                <c:manualLayout>
                  <c:x val="0.12584264929846734"/>
                  <c:y val="-4.7728894028106629E-2"/>
                </c:manualLayout>
              </c:layout>
              <c:tx>
                <c:rich>
                  <a:bodyPr/>
                  <a:lstStyle/>
                  <a:p>
                    <a:r>
                      <a:rPr lang="ja-JP" altLang="en-US"/>
                      <a:t>その他</a:t>
                    </a:r>
                    <a:r>
                      <a:rPr lang="en-US" altLang="ja-JP"/>
                      <a:t>0.7(0.9)</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5277777777777779"/>
                      <c:h val="7.6705516705516702E-2"/>
                    </c:manualLayout>
                  </c15:layout>
                </c:ext>
                <c:ext xmlns:c16="http://schemas.microsoft.com/office/drawing/2014/chart" uri="{C3380CC4-5D6E-409C-BE32-E72D297353CC}">
                  <c16:uniqueId val="{00000008-CD70-4983-AE1D-E6F1C8ECB2CD}"/>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Sheet1!$B$1:$K$1</c:f>
              <c:strCache>
                <c:ptCount val="10"/>
                <c:pt idx="0">
                  <c:v>総務費</c:v>
                </c:pt>
                <c:pt idx="1">
                  <c:v>民生費</c:v>
                </c:pt>
                <c:pt idx="2">
                  <c:v>公債費</c:v>
                </c:pt>
                <c:pt idx="3">
                  <c:v>土木費</c:v>
                </c:pt>
                <c:pt idx="4">
                  <c:v>教育費</c:v>
                </c:pt>
                <c:pt idx="5">
                  <c:v>商工費</c:v>
                </c:pt>
                <c:pt idx="6">
                  <c:v>衛生費</c:v>
                </c:pt>
                <c:pt idx="7">
                  <c:v>消防費</c:v>
                </c:pt>
                <c:pt idx="8">
                  <c:v>農林水産業費</c:v>
                </c:pt>
                <c:pt idx="9">
                  <c:v>その他</c:v>
                </c:pt>
              </c:strCache>
            </c:strRef>
          </c:cat>
          <c:val>
            <c:numRef>
              <c:f>Sheet1!$B$2:$K$2</c:f>
              <c:numCache>
                <c:formatCode>General</c:formatCode>
                <c:ptCount val="10"/>
                <c:pt idx="0" formatCode="0.0_ ">
                  <c:v>29.1</c:v>
                </c:pt>
                <c:pt idx="1">
                  <c:v>26.8</c:v>
                </c:pt>
                <c:pt idx="2" formatCode="0.0_ ">
                  <c:v>12.2</c:v>
                </c:pt>
                <c:pt idx="3">
                  <c:v>10.5</c:v>
                </c:pt>
                <c:pt idx="4" formatCode="0.0_ ">
                  <c:v>6.1</c:v>
                </c:pt>
                <c:pt idx="5" formatCode="0.0_ ">
                  <c:v>5.4</c:v>
                </c:pt>
                <c:pt idx="6" formatCode="0.0_ ">
                  <c:v>5.4</c:v>
                </c:pt>
                <c:pt idx="7" formatCode="0.0_ ">
                  <c:v>2.7</c:v>
                </c:pt>
                <c:pt idx="8" formatCode="0.0_ ">
                  <c:v>1.1000000000000001</c:v>
                </c:pt>
                <c:pt idx="9" formatCode="0.0_ ">
                  <c:v>0.7</c:v>
                </c:pt>
              </c:numCache>
            </c:numRef>
          </c:val>
          <c:extLst>
            <c:ext xmlns:c16="http://schemas.microsoft.com/office/drawing/2014/chart" uri="{C3380CC4-5D6E-409C-BE32-E72D297353CC}">
              <c16:uniqueId val="{0000000A-CD70-4983-AE1D-E6F1C8ECB2CD}"/>
            </c:ext>
          </c:extLst>
        </c:ser>
        <c:dLbls>
          <c:showLegendKey val="0"/>
          <c:showVal val="1"/>
          <c:showCatName val="1"/>
          <c:showSerName val="0"/>
          <c:showPercent val="0"/>
          <c:showBubbleSize val="0"/>
          <c:showLeaderLines val="1"/>
        </c:dLbls>
        <c:firstSliceAng val="0"/>
      </c:pieChart>
    </c:plotArea>
    <c:plotVisOnly val="1"/>
    <c:dispBlanksAs val="zero"/>
    <c:showDLblsOverMax val="0"/>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9D8FCC-683D-46FB-B9F6-7DC56846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5844</TotalTime>
  <Pages>6</Pages>
  <Words>228</Words>
  <Characters>1303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333</cp:revision>
  <cp:lastPrinted>2021-08-14T03:08:00Z</cp:lastPrinted>
  <dcterms:created xsi:type="dcterms:W3CDTF">2013-09-11T05:53:00Z</dcterms:created>
  <dcterms:modified xsi:type="dcterms:W3CDTF">2022-08-16T05:17:00Z</dcterms:modified>
</cp:coreProperties>
</file>