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4B83" w:rsidRPr="00ED4B83" w:rsidRDefault="00ED4B83" w:rsidP="0049196E">
      <w:pPr>
        <w:kinsoku w:val="0"/>
        <w:overflowPunct w:val="0"/>
        <w:snapToGrid w:val="0"/>
        <w:spacing w:line="240" w:lineRule="auto"/>
        <w:rPr>
          <w:rFonts w:ascii="ＭＳ ゴシック" w:eastAsia="ＭＳ ゴシック" w:hAnsi="ＭＳ ゴシック"/>
          <w:szCs w:val="24"/>
        </w:rPr>
      </w:pPr>
      <w:r w:rsidRPr="00ED4B83">
        <w:rPr>
          <w:rFonts w:ascii="ＭＳ ゴシック" w:eastAsia="ＭＳ ゴシック" w:hAnsi="ＭＳ ゴシック" w:hint="eastAsia"/>
          <w:szCs w:val="24"/>
        </w:rPr>
        <w:t>一  般  会  計</w:t>
      </w:r>
    </w:p>
    <w:p w:rsidR="00ED4B83" w:rsidRPr="00ED4B83" w:rsidRDefault="00ED4B83" w:rsidP="00ED4B83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ED4B83" w:rsidRPr="00095FFB" w:rsidRDefault="00ED4B83" w:rsidP="00ED4B83">
      <w:pPr>
        <w:kinsoku w:val="0"/>
        <w:overflowPunct w:val="0"/>
        <w:snapToGrid w:val="0"/>
        <w:spacing w:line="240" w:lineRule="auto"/>
        <w:ind w:firstLineChars="100" w:firstLine="240"/>
        <w:rPr>
          <w:rFonts w:hAnsi="ＭＳ 明朝"/>
          <w:snapToGrid w:val="0"/>
          <w:szCs w:val="24"/>
        </w:rPr>
      </w:pPr>
      <w:r w:rsidRPr="00ED4B83">
        <w:rPr>
          <w:rFonts w:hAnsi="ＭＳ 明朝" w:hint="eastAsia"/>
          <w:snapToGrid w:val="0"/>
          <w:szCs w:val="24"/>
        </w:rPr>
        <w:t>一般会計歳入歳出予算現額</w:t>
      </w:r>
      <w:r w:rsidR="00D306EA">
        <w:rPr>
          <w:rFonts w:hAnsi="ＭＳ 明朝" w:hint="eastAsia"/>
          <w:snapToGrid w:val="0"/>
          <w:szCs w:val="24"/>
        </w:rPr>
        <w:t>96,565,688</w:t>
      </w:r>
      <w:r w:rsidRPr="00095FFB">
        <w:rPr>
          <w:rFonts w:hAnsi="ＭＳ 明朝" w:hint="eastAsia"/>
          <w:snapToGrid w:val="0"/>
          <w:szCs w:val="24"/>
        </w:rPr>
        <w:t>千円に対する決算額</w:t>
      </w:r>
    </w:p>
    <w:p w:rsidR="00ED4B83" w:rsidRPr="00DC4BBF" w:rsidRDefault="00ED4B83" w:rsidP="00ED4B83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  <w:r w:rsidRPr="00095FFB">
        <w:rPr>
          <w:rFonts w:hAnsi="ＭＳ 明朝" w:hint="eastAsia"/>
          <w:snapToGrid w:val="0"/>
          <w:szCs w:val="24"/>
        </w:rPr>
        <w:t xml:space="preserve">　　歳　入　</w:t>
      </w:r>
      <w:r w:rsidR="00D306EA">
        <w:rPr>
          <w:rFonts w:hAnsi="ＭＳ 明朝" w:hint="eastAsia"/>
          <w:snapToGrid w:val="0"/>
          <w:szCs w:val="24"/>
        </w:rPr>
        <w:t>90,451,163</w:t>
      </w:r>
      <w:r w:rsidRPr="002F2B97">
        <w:rPr>
          <w:rFonts w:hAnsi="ＭＳ 明朝" w:hint="eastAsia"/>
          <w:snapToGrid w:val="0"/>
          <w:szCs w:val="24"/>
        </w:rPr>
        <w:t>千円（予算現額に対する収入率</w:t>
      </w:r>
      <w:r w:rsidR="00D306EA">
        <w:rPr>
          <w:rFonts w:hAnsi="ＭＳ 明朝" w:hint="eastAsia"/>
          <w:snapToGrid w:val="0"/>
          <w:szCs w:val="24"/>
        </w:rPr>
        <w:t>93.7</w:t>
      </w:r>
      <w:r w:rsidRPr="00DC4BBF">
        <w:rPr>
          <w:rFonts w:hAnsi="ＭＳ 明朝" w:hint="eastAsia"/>
          <w:snapToGrid w:val="0"/>
          <w:szCs w:val="24"/>
        </w:rPr>
        <w:t>％）</w:t>
      </w:r>
    </w:p>
    <w:p w:rsidR="00ED4B83" w:rsidRPr="002F2B97" w:rsidRDefault="00ED4B83" w:rsidP="00ED4B83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  <w:r w:rsidRPr="00DC4BBF">
        <w:rPr>
          <w:rFonts w:hAnsi="ＭＳ 明朝" w:hint="eastAsia"/>
          <w:snapToGrid w:val="0"/>
          <w:szCs w:val="24"/>
        </w:rPr>
        <w:t xml:space="preserve">　　歳　出　</w:t>
      </w:r>
      <w:r w:rsidR="00D306EA">
        <w:rPr>
          <w:rFonts w:hAnsi="ＭＳ 明朝" w:hint="eastAsia"/>
          <w:snapToGrid w:val="0"/>
          <w:szCs w:val="24"/>
        </w:rPr>
        <w:t>87,944,745</w:t>
      </w:r>
      <w:r w:rsidRPr="00DC4BBF">
        <w:rPr>
          <w:rFonts w:hAnsi="ＭＳ 明朝" w:hint="eastAsia"/>
          <w:snapToGrid w:val="0"/>
          <w:szCs w:val="24"/>
        </w:rPr>
        <w:t>千円（予算現額に対する執行率</w:t>
      </w:r>
      <w:r w:rsidR="00D306EA">
        <w:rPr>
          <w:rFonts w:hAnsi="ＭＳ 明朝" w:hint="eastAsia"/>
          <w:snapToGrid w:val="0"/>
          <w:szCs w:val="24"/>
        </w:rPr>
        <w:t>91.1</w:t>
      </w:r>
      <w:r w:rsidRPr="00DC4BBF">
        <w:rPr>
          <w:rFonts w:hAnsi="ＭＳ 明朝" w:hint="eastAsia"/>
          <w:snapToGrid w:val="0"/>
          <w:szCs w:val="24"/>
        </w:rPr>
        <w:t>％</w:t>
      </w:r>
      <w:r w:rsidRPr="002F2B97">
        <w:rPr>
          <w:rFonts w:hAnsi="ＭＳ 明朝" w:hint="eastAsia"/>
          <w:snapToGrid w:val="0"/>
          <w:szCs w:val="24"/>
        </w:rPr>
        <w:t>）</w:t>
      </w:r>
    </w:p>
    <w:p w:rsidR="00ED4B83" w:rsidRPr="00095FFB" w:rsidRDefault="00095FFB" w:rsidP="00ED4B83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  <w:r w:rsidRPr="002F2B97">
        <w:rPr>
          <w:rFonts w:hAnsi="ＭＳ 明朝" w:hint="eastAsia"/>
          <w:snapToGrid w:val="0"/>
          <w:szCs w:val="24"/>
        </w:rPr>
        <w:t xml:space="preserve">　　差引額　 </w:t>
      </w:r>
      <w:r w:rsidR="00D306EA">
        <w:rPr>
          <w:rFonts w:hAnsi="ＭＳ 明朝" w:hint="eastAsia"/>
          <w:snapToGrid w:val="0"/>
          <w:szCs w:val="24"/>
        </w:rPr>
        <w:t>2,506,418</w:t>
      </w:r>
      <w:r w:rsidR="00ED4B83" w:rsidRPr="002F2B97">
        <w:rPr>
          <w:rFonts w:hAnsi="ＭＳ 明朝" w:hint="eastAsia"/>
          <w:snapToGrid w:val="0"/>
          <w:szCs w:val="24"/>
        </w:rPr>
        <w:t>千円</w:t>
      </w:r>
    </w:p>
    <w:p w:rsidR="00ED4B83" w:rsidRDefault="00ED4B83" w:rsidP="00ED4B83">
      <w:pPr>
        <w:kinsoku w:val="0"/>
        <w:overflowPunct w:val="0"/>
        <w:snapToGrid w:val="0"/>
        <w:spacing w:line="240" w:lineRule="auto"/>
        <w:ind w:firstLineChars="100" w:firstLine="240"/>
        <w:rPr>
          <w:rFonts w:hAnsi="ＭＳ 明朝"/>
          <w:snapToGrid w:val="0"/>
          <w:szCs w:val="24"/>
        </w:rPr>
      </w:pPr>
    </w:p>
    <w:p w:rsidR="00ED4B83" w:rsidRPr="00ED4B83" w:rsidRDefault="00ED4B83" w:rsidP="00ED4B83">
      <w:pPr>
        <w:kinsoku w:val="0"/>
        <w:overflowPunct w:val="0"/>
        <w:snapToGrid w:val="0"/>
        <w:spacing w:line="240" w:lineRule="auto"/>
        <w:ind w:firstLineChars="100" w:firstLine="240"/>
        <w:rPr>
          <w:rFonts w:hAnsi="ＭＳ 明朝"/>
          <w:snapToGrid w:val="0"/>
          <w:szCs w:val="24"/>
        </w:rPr>
      </w:pPr>
      <w:r w:rsidRPr="00ED4B83">
        <w:rPr>
          <w:rFonts w:hAnsi="ＭＳ 明朝" w:hint="eastAsia"/>
          <w:snapToGrid w:val="0"/>
          <w:szCs w:val="24"/>
        </w:rPr>
        <w:t>決算額は前年度に比べ</w:t>
      </w:r>
      <w:r w:rsidRPr="00094165">
        <w:rPr>
          <w:rFonts w:hAnsi="ＭＳ 明朝" w:hint="eastAsia"/>
          <w:snapToGrid w:val="0"/>
          <w:szCs w:val="24"/>
        </w:rPr>
        <w:t>歳入で</w:t>
      </w:r>
      <w:r w:rsidR="00D306EA">
        <w:rPr>
          <w:rFonts w:hAnsi="ＭＳ 明朝" w:hint="eastAsia"/>
          <w:szCs w:val="24"/>
        </w:rPr>
        <w:t>22,134,249</w:t>
      </w:r>
      <w:r w:rsidRPr="00094165">
        <w:rPr>
          <w:rFonts w:hAnsi="ＭＳ 明朝" w:hint="eastAsia"/>
          <w:snapToGrid w:val="0"/>
          <w:szCs w:val="24"/>
        </w:rPr>
        <w:t>千円(</w:t>
      </w:r>
      <w:r w:rsidR="00D306EA">
        <w:rPr>
          <w:rFonts w:hAnsi="ＭＳ 明朝" w:hint="eastAsia"/>
          <w:szCs w:val="24"/>
        </w:rPr>
        <w:t>32.4</w:t>
      </w:r>
      <w:r w:rsidRPr="00094165">
        <w:rPr>
          <w:rFonts w:hAnsi="ＭＳ 明朝" w:hint="eastAsia"/>
          <w:snapToGrid w:val="0"/>
          <w:szCs w:val="24"/>
        </w:rPr>
        <w:t>％)</w:t>
      </w:r>
      <w:r w:rsidR="003F4263" w:rsidRPr="00094165">
        <w:rPr>
          <w:rFonts w:hAnsi="ＭＳ 明朝" w:hint="eastAsia"/>
          <w:snapToGrid w:val="0"/>
          <w:szCs w:val="24"/>
        </w:rPr>
        <w:t>、</w:t>
      </w:r>
      <w:r w:rsidRPr="00094165">
        <w:rPr>
          <w:rFonts w:hAnsi="ＭＳ 明朝" w:hint="eastAsia"/>
          <w:snapToGrid w:val="0"/>
          <w:szCs w:val="24"/>
        </w:rPr>
        <w:t>歳出で</w:t>
      </w:r>
      <w:r w:rsidR="00D306EA">
        <w:rPr>
          <w:rFonts w:hAnsi="ＭＳ 明朝" w:hint="eastAsia"/>
          <w:snapToGrid w:val="0"/>
          <w:szCs w:val="24"/>
        </w:rPr>
        <w:t>22,137,488</w:t>
      </w:r>
      <w:r w:rsidRPr="00094165">
        <w:rPr>
          <w:rFonts w:hAnsi="ＭＳ 明朝" w:hint="eastAsia"/>
          <w:snapToGrid w:val="0"/>
          <w:szCs w:val="24"/>
        </w:rPr>
        <w:t>千円</w:t>
      </w:r>
      <w:r w:rsidR="0090376A" w:rsidRPr="00094165">
        <w:rPr>
          <w:rFonts w:hAnsi="ＭＳ 明朝" w:hint="eastAsia"/>
          <w:szCs w:val="24"/>
        </w:rPr>
        <w:t>(</w:t>
      </w:r>
      <w:r w:rsidR="00D306EA">
        <w:rPr>
          <w:rFonts w:hAnsi="ＭＳ 明朝" w:hint="eastAsia"/>
          <w:szCs w:val="24"/>
        </w:rPr>
        <w:t>33.6</w:t>
      </w:r>
      <w:r w:rsidRPr="00094165">
        <w:rPr>
          <w:rFonts w:hAnsi="ＭＳ 明朝" w:hint="eastAsia"/>
          <w:szCs w:val="24"/>
        </w:rPr>
        <w:t>％)</w:t>
      </w:r>
      <w:r w:rsidR="003F4263" w:rsidRPr="00094165">
        <w:rPr>
          <w:rFonts w:hAnsi="ＭＳ 明朝" w:hint="eastAsia"/>
          <w:szCs w:val="24"/>
        </w:rPr>
        <w:t>それぞれ</w:t>
      </w:r>
      <w:r w:rsidR="00D306EA">
        <w:rPr>
          <w:rFonts w:hAnsi="ＭＳ 明朝" w:hint="eastAsia"/>
          <w:szCs w:val="24"/>
        </w:rPr>
        <w:t>増加</w:t>
      </w:r>
      <w:r w:rsidRPr="00094165">
        <w:rPr>
          <w:rFonts w:hAnsi="ＭＳ 明朝" w:hint="eastAsia"/>
          <w:snapToGrid w:val="0"/>
          <w:szCs w:val="24"/>
        </w:rPr>
        <w:t>している。</w:t>
      </w:r>
      <w:bookmarkStart w:id="0" w:name="_GoBack"/>
      <w:bookmarkEnd w:id="0"/>
    </w:p>
    <w:p w:rsidR="00ED4B83" w:rsidRDefault="00ED4B83" w:rsidP="00ED4B83">
      <w:pPr>
        <w:kinsoku w:val="0"/>
        <w:overflowPunct w:val="0"/>
        <w:snapToGrid w:val="0"/>
        <w:spacing w:line="240" w:lineRule="auto"/>
        <w:ind w:left="240" w:rightChars="-67" w:right="-161" w:hangingChars="100" w:hanging="240"/>
        <w:rPr>
          <w:rFonts w:hAnsi="ＭＳ 明朝"/>
          <w:szCs w:val="24"/>
        </w:rPr>
      </w:pPr>
    </w:p>
    <w:p w:rsidR="00007C81" w:rsidRDefault="00007C81" w:rsidP="00ED4B83">
      <w:pPr>
        <w:kinsoku w:val="0"/>
        <w:overflowPunct w:val="0"/>
        <w:snapToGrid w:val="0"/>
        <w:spacing w:line="240" w:lineRule="auto"/>
        <w:ind w:left="240" w:rightChars="-67" w:right="-161" w:hangingChars="100" w:hanging="240"/>
        <w:rPr>
          <w:rFonts w:hAnsi="ＭＳ 明朝"/>
          <w:szCs w:val="24"/>
        </w:rPr>
      </w:pPr>
    </w:p>
    <w:p w:rsidR="003213F8" w:rsidRDefault="003213F8" w:rsidP="003213F8">
      <w:pPr>
        <w:kinsoku w:val="0"/>
        <w:overflowPunct w:val="0"/>
        <w:snapToGrid w:val="0"/>
        <w:spacing w:line="240" w:lineRule="auto"/>
        <w:ind w:right="960"/>
        <w:rPr>
          <w:rFonts w:hAnsi="ＭＳ 明朝"/>
          <w:szCs w:val="24"/>
        </w:rPr>
      </w:pPr>
    </w:p>
    <w:p w:rsidR="003213F8" w:rsidRDefault="003213F8" w:rsidP="003213F8">
      <w:pPr>
        <w:kinsoku w:val="0"/>
        <w:overflowPunct w:val="0"/>
        <w:snapToGrid w:val="0"/>
        <w:spacing w:line="240" w:lineRule="auto"/>
        <w:ind w:right="960"/>
        <w:rPr>
          <w:rFonts w:hAnsi="ＭＳ 明朝"/>
          <w:szCs w:val="24"/>
        </w:rPr>
      </w:pPr>
    </w:p>
    <w:p w:rsidR="003213F8" w:rsidRDefault="003213F8" w:rsidP="003213F8">
      <w:pPr>
        <w:kinsoku w:val="0"/>
        <w:overflowPunct w:val="0"/>
        <w:snapToGrid w:val="0"/>
        <w:spacing w:line="240" w:lineRule="auto"/>
        <w:ind w:right="960"/>
        <w:rPr>
          <w:rFonts w:hAnsi="ＭＳ 明朝"/>
          <w:szCs w:val="24"/>
        </w:rPr>
      </w:pPr>
    </w:p>
    <w:p w:rsidR="003213F8" w:rsidRDefault="00ED4B83" w:rsidP="00E47079">
      <w:pPr>
        <w:kinsoku w:val="0"/>
        <w:overflowPunct w:val="0"/>
        <w:snapToGrid w:val="0"/>
        <w:spacing w:line="240" w:lineRule="auto"/>
        <w:ind w:right="960" w:firstLineChars="100" w:firstLine="240"/>
        <w:rPr>
          <w:rFonts w:hAnsi="ＭＳ 明朝"/>
          <w:szCs w:val="24"/>
        </w:rPr>
      </w:pPr>
      <w:r w:rsidRPr="00DD0C22">
        <w:rPr>
          <w:rFonts w:ascii="ＭＳ ゴシック" w:eastAsia="ＭＳ ゴシック" w:hAnsi="ＭＳ ゴシック" w:hint="eastAsia"/>
          <w:kern w:val="2"/>
          <w:szCs w:val="24"/>
        </w:rPr>
        <w:t>一般会計決算規模</w:t>
      </w:r>
      <w:r w:rsidRPr="00ED4B83">
        <w:rPr>
          <w:rFonts w:hAnsi="ＭＳ 明朝" w:hint="eastAsia"/>
          <w:szCs w:val="24"/>
        </w:rPr>
        <w:t xml:space="preserve">　　　　</w:t>
      </w:r>
      <w:r w:rsidR="00DD0C22">
        <w:rPr>
          <w:rFonts w:hAnsi="ＭＳ 明朝" w:hint="eastAsia"/>
          <w:szCs w:val="24"/>
        </w:rPr>
        <w:t xml:space="preserve">　</w:t>
      </w:r>
      <w:r w:rsidRPr="00ED4B83">
        <w:rPr>
          <w:rFonts w:hAnsi="ＭＳ 明朝" w:hint="eastAsia"/>
          <w:szCs w:val="24"/>
        </w:rPr>
        <w:t xml:space="preserve">　　　　</w:t>
      </w:r>
      <w:r w:rsidR="00DD0C22">
        <w:rPr>
          <w:rFonts w:hAnsi="ＭＳ 明朝" w:hint="eastAsia"/>
          <w:szCs w:val="24"/>
        </w:rPr>
        <w:t xml:space="preserve">　　　　</w:t>
      </w:r>
      <w:r w:rsidR="0049196E">
        <w:rPr>
          <w:rFonts w:hAnsi="ＭＳ 明朝" w:hint="eastAsia"/>
          <w:szCs w:val="24"/>
        </w:rPr>
        <w:t xml:space="preserve">　</w:t>
      </w:r>
      <w:r w:rsidR="00DD0C22">
        <w:rPr>
          <w:rFonts w:hAnsi="ＭＳ 明朝" w:hint="eastAsia"/>
          <w:szCs w:val="24"/>
        </w:rPr>
        <w:t xml:space="preserve">　</w:t>
      </w:r>
      <w:r w:rsidRPr="00ED4B83">
        <w:rPr>
          <w:rFonts w:hAnsi="ＭＳ 明朝" w:hint="eastAsia"/>
          <w:szCs w:val="24"/>
        </w:rPr>
        <w:t xml:space="preserve">　　　　　　　</w:t>
      </w:r>
    </w:p>
    <w:p w:rsidR="00ED4B83" w:rsidRPr="00ED4B83" w:rsidRDefault="00430062" w:rsidP="00B22A65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 xml:space="preserve"> </w:t>
      </w:r>
      <w:r w:rsidR="00B22A65">
        <w:rPr>
          <w:rFonts w:hAnsi="ＭＳ 明朝"/>
          <w:szCs w:val="24"/>
        </w:rPr>
        <w:t xml:space="preserve">                                                              </w:t>
      </w:r>
      <w:r w:rsidR="00ED4B83" w:rsidRPr="00ED4B83">
        <w:rPr>
          <w:rFonts w:hAnsi="ＭＳ 明朝" w:hint="eastAsia"/>
          <w:szCs w:val="24"/>
        </w:rPr>
        <w:t>（単位：千円・％）</w:t>
      </w:r>
    </w:p>
    <w:p w:rsidR="00ED4B83" w:rsidRPr="00DD0C22" w:rsidRDefault="00830BF3" w:rsidP="00ED4B83">
      <w:pPr>
        <w:spacing w:line="240" w:lineRule="auto"/>
        <w:rPr>
          <w:rFonts w:hAnsi="ＭＳ 明朝"/>
          <w:szCs w:val="24"/>
        </w:rPr>
      </w:pPr>
      <w:r w:rsidRPr="00AE1072">
        <w:rPr>
          <w:rFonts w:hAnsi="ＭＳ 明朝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5" type="#_x0000_t75" style="width:482.5pt;height:180.5pt">
            <v:imagedata r:id="rId8" o:title=""/>
          </v:shape>
        </w:pict>
      </w:r>
    </w:p>
    <w:p w:rsidR="00DD0C22" w:rsidRPr="00255786" w:rsidRDefault="00DD0C22" w:rsidP="00A1633A">
      <w:pPr>
        <w:kinsoku w:val="0"/>
        <w:overflowPunct w:val="0"/>
        <w:snapToGrid w:val="0"/>
        <w:spacing w:line="240" w:lineRule="auto"/>
        <w:rPr>
          <w:rFonts w:ascii="ＭＳ ゴシック" w:eastAsia="ＭＳ ゴシック" w:hAnsi="ＭＳ ゴシック"/>
          <w:color w:val="0070C0"/>
          <w:szCs w:val="24"/>
        </w:rPr>
      </w:pPr>
    </w:p>
    <w:p w:rsidR="00FF42B4" w:rsidRDefault="00FF42B4" w:rsidP="00A1633A">
      <w:pPr>
        <w:kinsoku w:val="0"/>
        <w:overflowPunct w:val="0"/>
        <w:snapToGrid w:val="0"/>
        <w:spacing w:line="240" w:lineRule="auto"/>
        <w:rPr>
          <w:rFonts w:asciiTheme="majorEastAsia" w:eastAsiaTheme="majorEastAsia" w:hAnsiTheme="majorEastAsia"/>
          <w:snapToGrid w:val="0"/>
          <w:szCs w:val="24"/>
        </w:rPr>
      </w:pPr>
    </w:p>
    <w:p w:rsidR="006556A8" w:rsidRDefault="006556A8" w:rsidP="00DD0C22">
      <w:pPr>
        <w:spacing w:line="240" w:lineRule="auto"/>
        <w:rPr>
          <w:rFonts w:hAnsi="ＭＳ 明朝"/>
          <w:szCs w:val="24"/>
        </w:rPr>
      </w:pPr>
    </w:p>
    <w:p w:rsidR="006556A8" w:rsidRDefault="006556A8" w:rsidP="00DD0C22">
      <w:pPr>
        <w:spacing w:line="240" w:lineRule="auto"/>
        <w:rPr>
          <w:rFonts w:hAnsi="ＭＳ 明朝"/>
          <w:szCs w:val="24"/>
        </w:rPr>
      </w:pPr>
    </w:p>
    <w:p w:rsidR="006556A8" w:rsidRDefault="006556A8" w:rsidP="00DD0C22">
      <w:pPr>
        <w:spacing w:line="240" w:lineRule="auto"/>
        <w:rPr>
          <w:rFonts w:hAnsi="ＭＳ 明朝"/>
          <w:szCs w:val="24"/>
        </w:rPr>
      </w:pPr>
    </w:p>
    <w:p w:rsidR="006556A8" w:rsidRDefault="006556A8" w:rsidP="00DD0C22">
      <w:pPr>
        <w:spacing w:line="240" w:lineRule="auto"/>
        <w:rPr>
          <w:rFonts w:hAnsi="ＭＳ 明朝"/>
          <w:szCs w:val="24"/>
        </w:rPr>
      </w:pPr>
    </w:p>
    <w:p w:rsidR="006556A8" w:rsidRDefault="006556A8" w:rsidP="00DD0C22">
      <w:pPr>
        <w:spacing w:line="240" w:lineRule="auto"/>
        <w:rPr>
          <w:rFonts w:hAnsi="ＭＳ 明朝"/>
          <w:szCs w:val="24"/>
        </w:rPr>
      </w:pPr>
    </w:p>
    <w:p w:rsidR="006556A8" w:rsidRDefault="006556A8" w:rsidP="00DD0C22">
      <w:pPr>
        <w:spacing w:line="240" w:lineRule="auto"/>
        <w:rPr>
          <w:rFonts w:hAnsi="ＭＳ 明朝"/>
          <w:szCs w:val="24"/>
        </w:rPr>
      </w:pPr>
    </w:p>
    <w:p w:rsidR="006556A8" w:rsidRDefault="006556A8" w:rsidP="00DD0C22">
      <w:pPr>
        <w:spacing w:line="240" w:lineRule="auto"/>
        <w:rPr>
          <w:rFonts w:hAnsi="ＭＳ 明朝"/>
          <w:szCs w:val="24"/>
        </w:rPr>
      </w:pPr>
    </w:p>
    <w:p w:rsidR="006556A8" w:rsidRDefault="006556A8" w:rsidP="00DD0C22">
      <w:pPr>
        <w:spacing w:line="240" w:lineRule="auto"/>
        <w:rPr>
          <w:rFonts w:hAnsi="ＭＳ 明朝"/>
          <w:szCs w:val="24"/>
        </w:rPr>
      </w:pPr>
    </w:p>
    <w:p w:rsidR="006556A8" w:rsidRDefault="006556A8" w:rsidP="00DD0C22">
      <w:pPr>
        <w:spacing w:line="240" w:lineRule="auto"/>
        <w:rPr>
          <w:rFonts w:hAnsi="ＭＳ 明朝"/>
          <w:szCs w:val="24"/>
        </w:rPr>
      </w:pPr>
    </w:p>
    <w:p w:rsidR="006556A8" w:rsidRDefault="006556A8" w:rsidP="00DD0C22">
      <w:pPr>
        <w:spacing w:line="240" w:lineRule="auto"/>
        <w:rPr>
          <w:rFonts w:hAnsi="ＭＳ 明朝"/>
          <w:szCs w:val="24"/>
        </w:rPr>
      </w:pPr>
    </w:p>
    <w:p w:rsidR="006556A8" w:rsidRDefault="006556A8" w:rsidP="00DD0C22">
      <w:pPr>
        <w:spacing w:line="240" w:lineRule="auto"/>
        <w:rPr>
          <w:rFonts w:hAnsi="ＭＳ 明朝"/>
          <w:szCs w:val="24"/>
        </w:rPr>
      </w:pPr>
    </w:p>
    <w:p w:rsidR="006556A8" w:rsidRDefault="006556A8" w:rsidP="00DD0C22">
      <w:pPr>
        <w:spacing w:line="240" w:lineRule="auto"/>
        <w:rPr>
          <w:rFonts w:hAnsi="ＭＳ 明朝"/>
          <w:szCs w:val="24"/>
        </w:rPr>
      </w:pPr>
    </w:p>
    <w:p w:rsidR="00830BF3" w:rsidRDefault="00830BF3" w:rsidP="00DD0C22">
      <w:pPr>
        <w:spacing w:line="240" w:lineRule="auto"/>
        <w:rPr>
          <w:rFonts w:hAnsi="ＭＳ 明朝" w:hint="eastAsia"/>
          <w:szCs w:val="24"/>
        </w:rPr>
      </w:pPr>
    </w:p>
    <w:p w:rsidR="0077241B" w:rsidRDefault="0077241B" w:rsidP="0077241B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4C02F2" w:rsidRDefault="004C02F2" w:rsidP="0077241B">
      <w:pPr>
        <w:kinsoku w:val="0"/>
        <w:overflowPunct w:val="0"/>
        <w:snapToGrid w:val="0"/>
        <w:spacing w:line="240" w:lineRule="auto"/>
        <w:ind w:firstLineChars="100" w:firstLine="240"/>
        <w:rPr>
          <w:rFonts w:ascii="ＭＳ ゴシック" w:eastAsia="ＭＳ ゴシック" w:hAnsi="ＭＳ ゴシック"/>
          <w:szCs w:val="24"/>
        </w:rPr>
      </w:pPr>
      <w:r w:rsidRPr="00255786">
        <w:rPr>
          <w:rFonts w:ascii="ＭＳ ゴシック" w:eastAsia="ＭＳ ゴシック" w:hAnsi="ＭＳ ゴシック" w:hint="eastAsia"/>
          <w:szCs w:val="24"/>
        </w:rPr>
        <w:lastRenderedPageBreak/>
        <w:t>１　歳　　入</w:t>
      </w:r>
    </w:p>
    <w:p w:rsidR="00940888" w:rsidRPr="00520FFA" w:rsidRDefault="00940888" w:rsidP="00520FFA">
      <w:pPr>
        <w:pStyle w:val="af0"/>
        <w:numPr>
          <w:ilvl w:val="0"/>
          <w:numId w:val="1"/>
        </w:numPr>
        <w:kinsoku w:val="0"/>
        <w:overflowPunct w:val="0"/>
        <w:snapToGrid w:val="0"/>
        <w:spacing w:line="240" w:lineRule="auto"/>
        <w:ind w:leftChars="0"/>
        <w:rPr>
          <w:rFonts w:ascii="ＭＳ ゴシック" w:eastAsia="ＭＳ ゴシック" w:hAnsi="ＭＳ ゴシック"/>
          <w:szCs w:val="24"/>
        </w:rPr>
      </w:pPr>
      <w:r w:rsidRPr="00520FFA">
        <w:rPr>
          <w:rFonts w:ascii="ＭＳ ゴシック" w:eastAsia="ＭＳ ゴシック" w:hAnsi="ＭＳ ゴシック" w:hint="eastAsia"/>
          <w:szCs w:val="24"/>
        </w:rPr>
        <w:t xml:space="preserve">　</w:t>
      </w:r>
      <w:r w:rsidRPr="00520FFA">
        <w:rPr>
          <w:rFonts w:ascii="ＭＳ ゴシック" w:eastAsia="ＭＳ ゴシック" w:hAnsi="ＭＳ ゴシック" w:hint="eastAsia"/>
          <w:kern w:val="2"/>
          <w:szCs w:val="24"/>
        </w:rPr>
        <w:t>歳入の状況</w:t>
      </w:r>
    </w:p>
    <w:p w:rsidR="00491D15" w:rsidRPr="00A552F7" w:rsidRDefault="00940888" w:rsidP="00491D15">
      <w:pPr>
        <w:kinsoku w:val="0"/>
        <w:overflowPunct w:val="0"/>
        <w:snapToGrid w:val="0"/>
        <w:spacing w:line="240" w:lineRule="auto"/>
        <w:ind w:leftChars="300" w:left="720" w:firstLineChars="100" w:firstLine="240"/>
        <w:jc w:val="distribute"/>
        <w:rPr>
          <w:rFonts w:hAnsi="ＭＳ 明朝"/>
          <w:szCs w:val="24"/>
        </w:rPr>
      </w:pPr>
      <w:r w:rsidRPr="00A552F7">
        <w:rPr>
          <w:rFonts w:hAnsi="ＭＳ 明朝" w:hint="eastAsia"/>
          <w:szCs w:val="24"/>
        </w:rPr>
        <w:t>当年度の歳入決算額は</w:t>
      </w:r>
      <w:r w:rsidR="00520FFA" w:rsidRPr="00A552F7">
        <w:rPr>
          <w:rFonts w:hAnsi="ＭＳ 明朝" w:hint="eastAsia"/>
          <w:szCs w:val="24"/>
        </w:rPr>
        <w:t>90,451,163</w:t>
      </w:r>
      <w:r w:rsidRPr="00A552F7">
        <w:rPr>
          <w:rFonts w:hAnsi="ＭＳ 明朝" w:hint="eastAsia"/>
          <w:szCs w:val="24"/>
        </w:rPr>
        <w:t>千円で、予算現額</w:t>
      </w:r>
      <w:r w:rsidR="00520FFA" w:rsidRPr="00A552F7">
        <w:rPr>
          <w:rFonts w:hAnsi="ＭＳ 明朝" w:hint="eastAsia"/>
          <w:szCs w:val="24"/>
        </w:rPr>
        <w:t>96,565,688</w:t>
      </w:r>
      <w:r w:rsidR="00860CB4" w:rsidRPr="00A552F7">
        <w:rPr>
          <w:rFonts w:hAnsi="ＭＳ 明朝" w:hint="eastAsia"/>
          <w:snapToGrid w:val="0"/>
          <w:szCs w:val="24"/>
        </w:rPr>
        <w:t>千円</w:t>
      </w:r>
      <w:r w:rsidRPr="00A552F7">
        <w:rPr>
          <w:rFonts w:hAnsi="ＭＳ 明朝" w:hint="eastAsia"/>
          <w:szCs w:val="24"/>
        </w:rPr>
        <w:t>に対して</w:t>
      </w:r>
    </w:p>
    <w:p w:rsidR="00491D15" w:rsidRPr="00A552F7" w:rsidRDefault="00940888" w:rsidP="00491D15">
      <w:pPr>
        <w:kinsoku w:val="0"/>
        <w:overflowPunct w:val="0"/>
        <w:snapToGrid w:val="0"/>
        <w:spacing w:line="240" w:lineRule="auto"/>
        <w:ind w:leftChars="300" w:left="720"/>
        <w:jc w:val="distribute"/>
        <w:rPr>
          <w:rFonts w:hAnsi="ＭＳ 明朝"/>
          <w:szCs w:val="24"/>
        </w:rPr>
      </w:pPr>
      <w:r w:rsidRPr="00A552F7">
        <w:rPr>
          <w:rFonts w:hAnsi="ＭＳ 明朝" w:hint="eastAsia"/>
          <w:szCs w:val="24"/>
        </w:rPr>
        <w:t>収入率は</w:t>
      </w:r>
      <w:r w:rsidR="00860CB4" w:rsidRPr="00A552F7">
        <w:rPr>
          <w:rFonts w:hAnsi="ＭＳ 明朝" w:hint="eastAsia"/>
          <w:szCs w:val="24"/>
        </w:rPr>
        <w:t>9</w:t>
      </w:r>
      <w:r w:rsidR="00520FFA" w:rsidRPr="00A552F7">
        <w:rPr>
          <w:rFonts w:hAnsi="ＭＳ 明朝" w:hint="eastAsia"/>
          <w:szCs w:val="24"/>
        </w:rPr>
        <w:t>3.7</w:t>
      </w:r>
      <w:r w:rsidRPr="00A552F7">
        <w:rPr>
          <w:rFonts w:hAnsi="ＭＳ 明朝" w:hint="eastAsia"/>
          <w:szCs w:val="24"/>
        </w:rPr>
        <w:t>％(前年度</w:t>
      </w:r>
      <w:r w:rsidR="00AD39FC" w:rsidRPr="00A552F7">
        <w:rPr>
          <w:rFonts w:hAnsi="ＭＳ 明朝" w:hint="eastAsia"/>
          <w:szCs w:val="24"/>
        </w:rPr>
        <w:t>9</w:t>
      </w:r>
      <w:r w:rsidR="00CE19ED" w:rsidRPr="00A552F7">
        <w:rPr>
          <w:rFonts w:hAnsi="ＭＳ 明朝" w:hint="eastAsia"/>
          <w:szCs w:val="24"/>
        </w:rPr>
        <w:t>5</w:t>
      </w:r>
      <w:r w:rsidR="00AD39FC" w:rsidRPr="00A552F7">
        <w:rPr>
          <w:rFonts w:hAnsi="ＭＳ 明朝" w:hint="eastAsia"/>
          <w:szCs w:val="24"/>
        </w:rPr>
        <w:t>.</w:t>
      </w:r>
      <w:r w:rsidR="00520FFA" w:rsidRPr="00A552F7">
        <w:rPr>
          <w:rFonts w:hAnsi="ＭＳ 明朝" w:hint="eastAsia"/>
          <w:szCs w:val="24"/>
        </w:rPr>
        <w:t>1</w:t>
      </w:r>
      <w:r w:rsidRPr="00A552F7">
        <w:rPr>
          <w:rFonts w:hAnsi="ＭＳ 明朝" w:hint="eastAsia"/>
          <w:szCs w:val="24"/>
        </w:rPr>
        <w:t>％)、調定額</w:t>
      </w:r>
      <w:r w:rsidR="00DF48ED" w:rsidRPr="00A552F7">
        <w:rPr>
          <w:rFonts w:hAnsi="ＭＳ 明朝" w:hint="eastAsia"/>
          <w:szCs w:val="24"/>
        </w:rPr>
        <w:t>96,371,822</w:t>
      </w:r>
      <w:r w:rsidRPr="00A552F7">
        <w:rPr>
          <w:rFonts w:hAnsi="ＭＳ 明朝" w:hint="eastAsia"/>
          <w:szCs w:val="24"/>
        </w:rPr>
        <w:t>千円に対して収納率は</w:t>
      </w:r>
      <w:r w:rsidR="00520FFA" w:rsidRPr="00A552F7">
        <w:rPr>
          <w:rFonts w:hAnsi="ＭＳ 明朝" w:hint="eastAsia"/>
          <w:szCs w:val="24"/>
        </w:rPr>
        <w:t>93.9</w:t>
      </w:r>
      <w:r w:rsidRPr="00A552F7">
        <w:rPr>
          <w:rFonts w:hAnsi="ＭＳ 明朝" w:hint="eastAsia"/>
          <w:szCs w:val="24"/>
        </w:rPr>
        <w:t>％</w:t>
      </w:r>
    </w:p>
    <w:p w:rsidR="00940888" w:rsidRPr="00A552F7" w:rsidRDefault="00940888" w:rsidP="00491D15">
      <w:pPr>
        <w:kinsoku w:val="0"/>
        <w:overflowPunct w:val="0"/>
        <w:snapToGrid w:val="0"/>
        <w:spacing w:line="240" w:lineRule="auto"/>
        <w:ind w:leftChars="300" w:left="720"/>
        <w:rPr>
          <w:rFonts w:hAnsi="ＭＳ 明朝"/>
          <w:szCs w:val="24"/>
        </w:rPr>
      </w:pPr>
      <w:r w:rsidRPr="00A552F7">
        <w:rPr>
          <w:rFonts w:hAnsi="ＭＳ 明朝" w:hint="eastAsia"/>
          <w:szCs w:val="24"/>
        </w:rPr>
        <w:t>(前年度</w:t>
      </w:r>
      <w:r w:rsidR="00520FFA" w:rsidRPr="00A552F7">
        <w:rPr>
          <w:rFonts w:hAnsi="ＭＳ 明朝" w:hint="eastAsia"/>
          <w:szCs w:val="24"/>
        </w:rPr>
        <w:t>94.5</w:t>
      </w:r>
      <w:r w:rsidRPr="00A552F7">
        <w:rPr>
          <w:rFonts w:hAnsi="ＭＳ 明朝" w:hint="eastAsia"/>
          <w:szCs w:val="24"/>
        </w:rPr>
        <w:t>％)</w:t>
      </w:r>
      <w:r w:rsidR="00411806" w:rsidRPr="00A552F7">
        <w:rPr>
          <w:rFonts w:hAnsi="ＭＳ 明朝" w:hint="eastAsia"/>
          <w:szCs w:val="24"/>
        </w:rPr>
        <w:t>である</w:t>
      </w:r>
      <w:r w:rsidRPr="00A552F7">
        <w:rPr>
          <w:rFonts w:hAnsi="ＭＳ 明朝" w:hint="eastAsia"/>
          <w:szCs w:val="24"/>
        </w:rPr>
        <w:t>。</w:t>
      </w:r>
    </w:p>
    <w:p w:rsidR="00940888" w:rsidRPr="00A552F7" w:rsidRDefault="00940888" w:rsidP="00720003">
      <w:pPr>
        <w:kinsoku w:val="0"/>
        <w:overflowPunct w:val="0"/>
        <w:snapToGrid w:val="0"/>
        <w:spacing w:line="240" w:lineRule="auto"/>
        <w:ind w:leftChars="300" w:left="720" w:firstLineChars="100" w:firstLine="240"/>
        <w:rPr>
          <w:rFonts w:hAnsi="ＭＳ 明朝"/>
          <w:szCs w:val="24"/>
        </w:rPr>
      </w:pPr>
      <w:r w:rsidRPr="00A552F7">
        <w:rPr>
          <w:rFonts w:hAnsi="ＭＳ 明朝" w:hint="eastAsia"/>
          <w:szCs w:val="24"/>
        </w:rPr>
        <w:t>収入済額は前年度に比べ</w:t>
      </w:r>
      <w:r w:rsidR="00700631" w:rsidRPr="00A552F7">
        <w:rPr>
          <w:rFonts w:hAnsi="ＭＳ 明朝" w:hint="eastAsia"/>
          <w:szCs w:val="24"/>
        </w:rPr>
        <w:t>22,134,249</w:t>
      </w:r>
      <w:r w:rsidRPr="00A552F7">
        <w:rPr>
          <w:rFonts w:hAnsi="ＭＳ 明朝" w:hint="eastAsia"/>
          <w:szCs w:val="24"/>
        </w:rPr>
        <w:t>千円(</w:t>
      </w:r>
      <w:r w:rsidR="00700631" w:rsidRPr="00A552F7">
        <w:rPr>
          <w:rFonts w:hAnsi="ＭＳ 明朝" w:hint="eastAsia"/>
          <w:szCs w:val="24"/>
        </w:rPr>
        <w:t>32.4</w:t>
      </w:r>
      <w:r w:rsidRPr="00A552F7">
        <w:rPr>
          <w:rFonts w:hAnsi="ＭＳ 明朝" w:hint="eastAsia"/>
          <w:szCs w:val="24"/>
        </w:rPr>
        <w:t>％)</w:t>
      </w:r>
      <w:r w:rsidR="00520FFA" w:rsidRPr="00A552F7">
        <w:rPr>
          <w:rFonts w:hAnsi="ＭＳ 明朝" w:hint="eastAsia"/>
          <w:szCs w:val="24"/>
        </w:rPr>
        <w:t>増加</w:t>
      </w:r>
      <w:r w:rsidRPr="00A552F7">
        <w:rPr>
          <w:rFonts w:hAnsi="ＭＳ 明朝" w:hint="eastAsia"/>
          <w:szCs w:val="24"/>
        </w:rPr>
        <w:t>している。</w:t>
      </w:r>
      <w:r w:rsidR="00727955" w:rsidRPr="00A552F7">
        <w:rPr>
          <w:rFonts w:hAnsi="ＭＳ 明朝" w:hint="eastAsia"/>
          <w:szCs w:val="24"/>
        </w:rPr>
        <w:t>これは主に、</w:t>
      </w:r>
      <w:r w:rsidR="00AF299C" w:rsidRPr="00A552F7">
        <w:rPr>
          <w:rFonts w:hAnsi="ＭＳ 明朝" w:hint="eastAsia"/>
          <w:szCs w:val="24"/>
        </w:rPr>
        <w:t>諸収入</w:t>
      </w:r>
      <w:r w:rsidR="00F41955" w:rsidRPr="00A552F7">
        <w:rPr>
          <w:rFonts w:hAnsi="ＭＳ 明朝" w:hint="eastAsia"/>
          <w:szCs w:val="24"/>
        </w:rPr>
        <w:t>で</w:t>
      </w:r>
      <w:r w:rsidR="00AF299C" w:rsidRPr="00A552F7">
        <w:rPr>
          <w:rFonts w:hAnsi="ＭＳ 明朝" w:hint="eastAsia"/>
          <w:szCs w:val="24"/>
        </w:rPr>
        <w:t>769,565</w:t>
      </w:r>
      <w:r w:rsidR="00F41955" w:rsidRPr="00A552F7">
        <w:rPr>
          <w:rFonts w:hAnsi="ＭＳ 明朝" w:hint="eastAsia"/>
          <w:szCs w:val="24"/>
        </w:rPr>
        <w:t>千円（</w:t>
      </w:r>
      <w:r w:rsidR="00AF299C" w:rsidRPr="00A552F7">
        <w:rPr>
          <w:rFonts w:hAnsi="ＭＳ 明朝" w:hint="eastAsia"/>
          <w:szCs w:val="24"/>
        </w:rPr>
        <w:t>△18.1</w:t>
      </w:r>
      <w:r w:rsidR="00F41955" w:rsidRPr="00A552F7">
        <w:rPr>
          <w:rFonts w:hAnsi="ＭＳ 明朝" w:hint="eastAsia"/>
          <w:szCs w:val="24"/>
        </w:rPr>
        <w:t>％）、</w:t>
      </w:r>
      <w:r w:rsidR="00AF299C" w:rsidRPr="00A552F7">
        <w:rPr>
          <w:rFonts w:hAnsi="ＭＳ 明朝" w:hint="eastAsia"/>
          <w:szCs w:val="24"/>
        </w:rPr>
        <w:t>使用料及び手数料</w:t>
      </w:r>
      <w:r w:rsidR="00727955" w:rsidRPr="00A552F7">
        <w:rPr>
          <w:rFonts w:hAnsi="ＭＳ 明朝" w:hint="eastAsia"/>
          <w:szCs w:val="24"/>
        </w:rPr>
        <w:t>で</w:t>
      </w:r>
      <w:r w:rsidR="00AF299C" w:rsidRPr="00A552F7">
        <w:rPr>
          <w:rFonts w:hAnsi="ＭＳ 明朝" w:hint="eastAsia"/>
          <w:szCs w:val="24"/>
        </w:rPr>
        <w:t>382,885</w:t>
      </w:r>
      <w:r w:rsidR="00727955" w:rsidRPr="00A552F7">
        <w:rPr>
          <w:rFonts w:hAnsi="ＭＳ 明朝" w:hint="eastAsia"/>
          <w:szCs w:val="24"/>
        </w:rPr>
        <w:t>千円（</w:t>
      </w:r>
      <w:r w:rsidR="00AF299C" w:rsidRPr="00A552F7">
        <w:rPr>
          <w:rFonts w:hAnsi="ＭＳ 明朝" w:hint="eastAsia"/>
          <w:szCs w:val="24"/>
        </w:rPr>
        <w:t>△23</w:t>
      </w:r>
      <w:r w:rsidR="00F41955" w:rsidRPr="00A552F7">
        <w:rPr>
          <w:rFonts w:hAnsi="ＭＳ 明朝" w:hint="eastAsia"/>
          <w:szCs w:val="24"/>
        </w:rPr>
        <w:t>.4</w:t>
      </w:r>
      <w:r w:rsidR="00AE13A7" w:rsidRPr="00A552F7">
        <w:rPr>
          <w:rFonts w:hAnsi="ＭＳ 明朝" w:hint="eastAsia"/>
          <w:szCs w:val="24"/>
        </w:rPr>
        <w:t>％）、</w:t>
      </w:r>
      <w:r w:rsidR="00EC4DA8" w:rsidRPr="00A552F7">
        <w:rPr>
          <w:rFonts w:hAnsi="ＭＳ 明朝" w:hint="eastAsia"/>
          <w:szCs w:val="24"/>
        </w:rPr>
        <w:t>地方特例</w:t>
      </w:r>
      <w:r w:rsidR="00F736C2" w:rsidRPr="00A552F7">
        <w:rPr>
          <w:rFonts w:hAnsi="ＭＳ 明朝" w:hint="eastAsia"/>
          <w:szCs w:val="24"/>
        </w:rPr>
        <w:t>交付金</w:t>
      </w:r>
      <w:r w:rsidR="00727955" w:rsidRPr="00A552F7">
        <w:rPr>
          <w:rFonts w:hAnsi="ＭＳ 明朝" w:hint="eastAsia"/>
          <w:szCs w:val="24"/>
        </w:rPr>
        <w:t>で</w:t>
      </w:r>
      <w:r w:rsidR="00714CEA" w:rsidRPr="00A552F7">
        <w:rPr>
          <w:rFonts w:hAnsi="ＭＳ 明朝" w:hint="eastAsia"/>
          <w:szCs w:val="24"/>
        </w:rPr>
        <w:t>206,113</w:t>
      </w:r>
      <w:r w:rsidR="00121D33" w:rsidRPr="00A552F7">
        <w:rPr>
          <w:rFonts w:hAnsi="ＭＳ 明朝" w:hint="eastAsia"/>
          <w:szCs w:val="24"/>
        </w:rPr>
        <w:t>千円</w:t>
      </w:r>
      <w:r w:rsidR="00727955" w:rsidRPr="00A552F7">
        <w:rPr>
          <w:rFonts w:hAnsi="ＭＳ 明朝" w:hint="eastAsia"/>
          <w:szCs w:val="24"/>
        </w:rPr>
        <w:t>（</w:t>
      </w:r>
      <w:r w:rsidR="00714CEA" w:rsidRPr="00A552F7">
        <w:rPr>
          <w:rFonts w:hAnsi="ＭＳ 明朝" w:hint="eastAsia"/>
          <w:szCs w:val="24"/>
        </w:rPr>
        <w:t>△56.2</w:t>
      </w:r>
      <w:r w:rsidR="001C753B" w:rsidRPr="00A552F7">
        <w:rPr>
          <w:rFonts w:hAnsi="ＭＳ 明朝" w:hint="eastAsia"/>
          <w:szCs w:val="24"/>
        </w:rPr>
        <w:t>％）</w:t>
      </w:r>
      <w:r w:rsidR="00714CEA" w:rsidRPr="00A552F7">
        <w:rPr>
          <w:rFonts w:hAnsi="ＭＳ 明朝" w:hint="eastAsia"/>
          <w:szCs w:val="24"/>
        </w:rPr>
        <w:t>減少</w:t>
      </w:r>
      <w:r w:rsidR="00727955" w:rsidRPr="00A552F7">
        <w:rPr>
          <w:rFonts w:hAnsi="ＭＳ 明朝" w:hint="eastAsia"/>
          <w:szCs w:val="24"/>
        </w:rPr>
        <w:t>したものの、</w:t>
      </w:r>
      <w:r w:rsidR="00714CEA" w:rsidRPr="00A552F7">
        <w:rPr>
          <w:rFonts w:hAnsi="ＭＳ 明朝" w:hint="eastAsia"/>
          <w:szCs w:val="24"/>
        </w:rPr>
        <w:t>国庫支出金</w:t>
      </w:r>
      <w:r w:rsidR="00295D50" w:rsidRPr="00A552F7">
        <w:rPr>
          <w:rFonts w:hAnsi="ＭＳ 明朝" w:hint="eastAsia"/>
          <w:szCs w:val="24"/>
        </w:rPr>
        <w:t>で</w:t>
      </w:r>
      <w:r w:rsidR="00714CEA" w:rsidRPr="00A552F7">
        <w:rPr>
          <w:rFonts w:hAnsi="ＭＳ 明朝" w:hint="eastAsia"/>
          <w:szCs w:val="24"/>
        </w:rPr>
        <w:t>19,659,873</w:t>
      </w:r>
      <w:r w:rsidR="00491D15" w:rsidRPr="00A552F7">
        <w:rPr>
          <w:rFonts w:hAnsi="ＭＳ 明朝" w:hint="eastAsia"/>
          <w:szCs w:val="24"/>
        </w:rPr>
        <w:t>千円(</w:t>
      </w:r>
      <w:r w:rsidR="00714CEA" w:rsidRPr="00A552F7">
        <w:rPr>
          <w:rFonts w:hAnsi="ＭＳ 明朝" w:hint="eastAsia"/>
          <w:szCs w:val="24"/>
        </w:rPr>
        <w:t>223.7</w:t>
      </w:r>
      <w:r w:rsidRPr="00A552F7">
        <w:rPr>
          <w:rFonts w:hAnsi="ＭＳ 明朝" w:hint="eastAsia"/>
          <w:szCs w:val="24"/>
        </w:rPr>
        <w:t>％</w:t>
      </w:r>
      <w:r w:rsidR="00935728" w:rsidRPr="00A552F7">
        <w:rPr>
          <w:rFonts w:hAnsi="ＭＳ 明朝" w:hint="eastAsia"/>
          <w:szCs w:val="24"/>
        </w:rPr>
        <w:t>)</w:t>
      </w:r>
      <w:r w:rsidR="002D15FF" w:rsidRPr="00A552F7">
        <w:rPr>
          <w:rFonts w:hAnsi="ＭＳ 明朝" w:hint="eastAsia"/>
          <w:szCs w:val="24"/>
        </w:rPr>
        <w:t>、</w:t>
      </w:r>
      <w:r w:rsidR="00714CEA" w:rsidRPr="00A552F7">
        <w:rPr>
          <w:rFonts w:hAnsi="ＭＳ 明朝" w:hint="eastAsia"/>
          <w:szCs w:val="24"/>
        </w:rPr>
        <w:t>繰越金</w:t>
      </w:r>
      <w:r w:rsidR="00D82582" w:rsidRPr="00A552F7">
        <w:rPr>
          <w:rFonts w:hAnsi="ＭＳ 明朝" w:hint="eastAsia"/>
          <w:szCs w:val="24"/>
        </w:rPr>
        <w:t>で</w:t>
      </w:r>
      <w:r w:rsidR="00714CEA" w:rsidRPr="00A552F7">
        <w:rPr>
          <w:rFonts w:hAnsi="ＭＳ 明朝" w:hint="eastAsia"/>
          <w:szCs w:val="24"/>
        </w:rPr>
        <w:t>1,546,723</w:t>
      </w:r>
      <w:r w:rsidR="00D82582" w:rsidRPr="00A552F7">
        <w:rPr>
          <w:rFonts w:hAnsi="ＭＳ 明朝" w:hint="eastAsia"/>
          <w:szCs w:val="24"/>
        </w:rPr>
        <w:t>千円</w:t>
      </w:r>
      <w:r w:rsidR="00F6554A" w:rsidRPr="00A552F7">
        <w:rPr>
          <w:rFonts w:hAnsi="ＭＳ 明朝" w:hint="eastAsia"/>
          <w:szCs w:val="24"/>
        </w:rPr>
        <w:t>(</w:t>
      </w:r>
      <w:r w:rsidR="00714CEA" w:rsidRPr="00A552F7">
        <w:rPr>
          <w:rFonts w:hAnsi="ＭＳ 明朝" w:hint="eastAsia"/>
          <w:szCs w:val="24"/>
        </w:rPr>
        <w:t>160.6</w:t>
      </w:r>
      <w:r w:rsidR="001C753B" w:rsidRPr="00A552F7">
        <w:rPr>
          <w:rFonts w:hAnsi="ＭＳ 明朝" w:hint="eastAsia"/>
          <w:szCs w:val="24"/>
        </w:rPr>
        <w:t>％</w:t>
      </w:r>
      <w:r w:rsidR="00D82582" w:rsidRPr="00A552F7">
        <w:rPr>
          <w:rFonts w:hAnsi="ＭＳ 明朝" w:hint="eastAsia"/>
          <w:szCs w:val="24"/>
        </w:rPr>
        <w:t>)</w:t>
      </w:r>
      <w:r w:rsidR="00491D15" w:rsidRPr="00A552F7">
        <w:rPr>
          <w:rFonts w:hAnsi="ＭＳ 明朝" w:hint="eastAsia"/>
          <w:szCs w:val="24"/>
        </w:rPr>
        <w:t>、</w:t>
      </w:r>
      <w:r w:rsidR="00714CEA" w:rsidRPr="00A552F7">
        <w:rPr>
          <w:rFonts w:hAnsi="ＭＳ 明朝" w:hint="eastAsia"/>
          <w:szCs w:val="24"/>
        </w:rPr>
        <w:t>地方消費税交付金</w:t>
      </w:r>
      <w:r w:rsidR="00460048" w:rsidRPr="00A552F7">
        <w:rPr>
          <w:rFonts w:hAnsi="ＭＳ 明朝" w:hint="eastAsia"/>
          <w:szCs w:val="24"/>
        </w:rPr>
        <w:t>で</w:t>
      </w:r>
      <w:r w:rsidR="00714CEA" w:rsidRPr="00A552F7">
        <w:rPr>
          <w:rFonts w:hAnsi="ＭＳ 明朝" w:hint="eastAsia"/>
          <w:szCs w:val="24"/>
        </w:rPr>
        <w:t>705,910</w:t>
      </w:r>
      <w:r w:rsidR="00460048" w:rsidRPr="00A552F7">
        <w:rPr>
          <w:rFonts w:hAnsi="ＭＳ 明朝" w:hint="eastAsia"/>
          <w:szCs w:val="24"/>
        </w:rPr>
        <w:t>千円(</w:t>
      </w:r>
      <w:r w:rsidR="00714CEA" w:rsidRPr="00A552F7">
        <w:rPr>
          <w:rFonts w:hAnsi="ＭＳ 明朝" w:hint="eastAsia"/>
          <w:szCs w:val="24"/>
        </w:rPr>
        <w:t>22.1</w:t>
      </w:r>
      <w:r w:rsidR="00460048" w:rsidRPr="00A552F7">
        <w:rPr>
          <w:rFonts w:hAnsi="ＭＳ 明朝" w:hint="eastAsia"/>
          <w:szCs w:val="24"/>
        </w:rPr>
        <w:t>％)</w:t>
      </w:r>
      <w:r w:rsidR="00714CEA" w:rsidRPr="00A552F7">
        <w:rPr>
          <w:rFonts w:hAnsi="ＭＳ 明朝" w:hint="eastAsia"/>
          <w:szCs w:val="24"/>
        </w:rPr>
        <w:t>増加</w:t>
      </w:r>
      <w:r w:rsidRPr="00A552F7">
        <w:rPr>
          <w:rFonts w:hAnsi="ＭＳ 明朝" w:hint="eastAsia"/>
          <w:szCs w:val="24"/>
        </w:rPr>
        <w:t>した</w:t>
      </w:r>
      <w:r w:rsidR="00E105EC" w:rsidRPr="00A552F7">
        <w:rPr>
          <w:rFonts w:hAnsi="ＭＳ 明朝" w:hint="eastAsia"/>
          <w:szCs w:val="24"/>
        </w:rPr>
        <w:t>こ</w:t>
      </w:r>
      <w:r w:rsidRPr="00A552F7">
        <w:rPr>
          <w:rFonts w:hAnsi="ＭＳ 明朝" w:hint="eastAsia"/>
          <w:szCs w:val="24"/>
        </w:rPr>
        <w:t>とによるものである。</w:t>
      </w:r>
    </w:p>
    <w:p w:rsidR="001604B8" w:rsidRPr="00A552F7" w:rsidRDefault="001604B8" w:rsidP="001604B8">
      <w:pPr>
        <w:kinsoku w:val="0"/>
        <w:overflowPunct w:val="0"/>
        <w:snapToGrid w:val="0"/>
        <w:spacing w:line="240" w:lineRule="auto"/>
        <w:ind w:leftChars="300" w:left="720" w:firstLineChars="100" w:firstLine="240"/>
        <w:rPr>
          <w:rFonts w:hAnsi="ＭＳ 明朝"/>
          <w:szCs w:val="24"/>
        </w:rPr>
      </w:pPr>
      <w:r w:rsidRPr="00A552F7">
        <w:rPr>
          <w:rFonts w:hAnsi="ＭＳ 明朝" w:hint="eastAsia"/>
          <w:szCs w:val="24"/>
        </w:rPr>
        <w:t>当年度は、国庫支出金の収入済額は28,447,521千円で、大きく増加している。増加の主な要因は、新型コロナウイルス感染症対応の特別定額給付金事業費補助金、地方創生臨時交付金が増加したことによるものである。</w:t>
      </w:r>
    </w:p>
    <w:p w:rsidR="00B17616" w:rsidRPr="00A552F7" w:rsidRDefault="00143D29" w:rsidP="00B17616">
      <w:pPr>
        <w:kinsoku w:val="0"/>
        <w:overflowPunct w:val="0"/>
        <w:snapToGrid w:val="0"/>
        <w:spacing w:line="240" w:lineRule="auto"/>
        <w:ind w:leftChars="300" w:left="720" w:firstLineChars="100" w:firstLine="240"/>
        <w:rPr>
          <w:rFonts w:hAnsi="ＭＳ 明朝"/>
          <w:szCs w:val="24"/>
        </w:rPr>
      </w:pPr>
      <w:r w:rsidRPr="00A552F7">
        <w:rPr>
          <w:rFonts w:hAnsi="ＭＳ 明朝" w:hint="eastAsia"/>
          <w:szCs w:val="24"/>
        </w:rPr>
        <w:t>歳入全体の</w:t>
      </w:r>
      <w:r w:rsidR="00B17616" w:rsidRPr="00A552F7">
        <w:rPr>
          <w:rFonts w:hAnsi="ＭＳ 明朝" w:hint="eastAsia"/>
          <w:szCs w:val="24"/>
        </w:rPr>
        <w:t>28.7</w:t>
      </w:r>
      <w:r w:rsidR="00F2689F" w:rsidRPr="00A552F7">
        <w:rPr>
          <w:rFonts w:hAnsi="ＭＳ 明朝" w:hint="eastAsia"/>
          <w:szCs w:val="24"/>
        </w:rPr>
        <w:t>％を占める</w:t>
      </w:r>
      <w:r w:rsidR="00B17616" w:rsidRPr="00A552F7">
        <w:rPr>
          <w:rFonts w:hAnsi="ＭＳ 明朝" w:hint="eastAsia"/>
          <w:szCs w:val="24"/>
        </w:rPr>
        <w:t>市税の収入済額は25,985,601千円で、前年度に比べ198,149千円(△0.8％)減少している。</w:t>
      </w:r>
    </w:p>
    <w:p w:rsidR="007E6B57" w:rsidRPr="00A552F7" w:rsidRDefault="007E6B57" w:rsidP="00720003">
      <w:pPr>
        <w:kinsoku w:val="0"/>
        <w:overflowPunct w:val="0"/>
        <w:snapToGrid w:val="0"/>
        <w:spacing w:line="240" w:lineRule="auto"/>
        <w:ind w:leftChars="300" w:left="720" w:firstLineChars="100" w:firstLine="240"/>
        <w:rPr>
          <w:rFonts w:hAnsi="ＭＳ 明朝"/>
          <w:szCs w:val="24"/>
        </w:rPr>
      </w:pPr>
      <w:r w:rsidRPr="00A552F7">
        <w:rPr>
          <w:rFonts w:hAnsi="ＭＳ 明朝" w:hint="eastAsia"/>
          <w:szCs w:val="24"/>
        </w:rPr>
        <w:t>市債の収入済額は</w:t>
      </w:r>
      <w:r w:rsidR="00714CEA" w:rsidRPr="00A552F7">
        <w:rPr>
          <w:rFonts w:hAnsi="ＭＳ 明朝" w:hint="eastAsia"/>
          <w:szCs w:val="24"/>
        </w:rPr>
        <w:t>7,634,000</w:t>
      </w:r>
      <w:r w:rsidRPr="00A552F7">
        <w:rPr>
          <w:rFonts w:hAnsi="ＭＳ 明朝" w:hint="eastAsia"/>
          <w:szCs w:val="24"/>
        </w:rPr>
        <w:t>千円で、このうち、借換債</w:t>
      </w:r>
      <w:r w:rsidR="00714CEA" w:rsidRPr="00A552F7">
        <w:rPr>
          <w:rFonts w:hAnsi="ＭＳ 明朝" w:hint="eastAsia"/>
          <w:szCs w:val="24"/>
        </w:rPr>
        <w:t>1,415,000</w:t>
      </w:r>
      <w:r w:rsidRPr="00A552F7">
        <w:rPr>
          <w:rFonts w:hAnsi="ＭＳ 明朝" w:hint="eastAsia"/>
          <w:szCs w:val="24"/>
        </w:rPr>
        <w:t>千円を除いた額</w:t>
      </w:r>
      <w:r w:rsidRPr="00A552F7">
        <w:rPr>
          <w:rFonts w:hAnsi="ＭＳ 明朝" w:hint="eastAsia"/>
          <w:w w:val="98"/>
          <w:szCs w:val="24"/>
          <w:fitText w:val="9120" w:id="-1743090176"/>
        </w:rPr>
        <w:t>は</w:t>
      </w:r>
      <w:r w:rsidR="00714CEA" w:rsidRPr="00A552F7">
        <w:rPr>
          <w:rFonts w:hAnsi="ＭＳ 明朝" w:hint="eastAsia"/>
          <w:w w:val="98"/>
          <w:szCs w:val="24"/>
          <w:fitText w:val="9120" w:id="-1743090176"/>
        </w:rPr>
        <w:t>6,219,000</w:t>
      </w:r>
      <w:r w:rsidRPr="00A552F7">
        <w:rPr>
          <w:rFonts w:hAnsi="ＭＳ 明朝" w:hint="eastAsia"/>
          <w:w w:val="98"/>
          <w:szCs w:val="24"/>
          <w:fitText w:val="9120" w:id="-1743090176"/>
        </w:rPr>
        <w:t>千円で、前年度に比べ</w:t>
      </w:r>
      <w:r w:rsidR="00714CEA" w:rsidRPr="00A552F7">
        <w:rPr>
          <w:rFonts w:hAnsi="ＭＳ 明朝" w:hint="eastAsia"/>
          <w:w w:val="98"/>
          <w:szCs w:val="24"/>
          <w:fitText w:val="9120" w:id="-1743090176"/>
        </w:rPr>
        <w:t>137,800</w:t>
      </w:r>
      <w:r w:rsidRPr="00A552F7">
        <w:rPr>
          <w:rFonts w:hAnsi="ＭＳ 明朝" w:hint="eastAsia"/>
          <w:w w:val="98"/>
          <w:szCs w:val="24"/>
          <w:fitText w:val="9120" w:id="-1743090176"/>
        </w:rPr>
        <w:t>千円（</w:t>
      </w:r>
      <w:r w:rsidR="00714CEA" w:rsidRPr="00A552F7">
        <w:rPr>
          <w:rFonts w:hAnsi="ＭＳ 明朝" w:hint="eastAsia"/>
          <w:w w:val="98"/>
          <w:szCs w:val="24"/>
          <w:fitText w:val="9120" w:id="-1743090176"/>
        </w:rPr>
        <w:t>2.3</w:t>
      </w:r>
      <w:r w:rsidRPr="00A552F7">
        <w:rPr>
          <w:rFonts w:hAnsi="ＭＳ 明朝" w:hint="eastAsia"/>
          <w:w w:val="98"/>
          <w:szCs w:val="24"/>
          <w:fitText w:val="9120" w:id="-1743090176"/>
        </w:rPr>
        <w:t>％）</w:t>
      </w:r>
      <w:r w:rsidR="00714CEA" w:rsidRPr="00A552F7">
        <w:rPr>
          <w:rFonts w:hAnsi="ＭＳ 明朝" w:hint="eastAsia"/>
          <w:w w:val="98"/>
          <w:szCs w:val="24"/>
          <w:fitText w:val="9120" w:id="-1743090176"/>
        </w:rPr>
        <w:t>増加</w:t>
      </w:r>
      <w:r w:rsidRPr="00A552F7">
        <w:rPr>
          <w:rFonts w:hAnsi="ＭＳ 明朝" w:hint="eastAsia"/>
          <w:w w:val="98"/>
          <w:szCs w:val="24"/>
          <w:fitText w:val="9120" w:id="-1743090176"/>
        </w:rPr>
        <w:t>している。</w:t>
      </w:r>
      <w:r w:rsidR="003D24E3" w:rsidRPr="00A552F7">
        <w:rPr>
          <w:rFonts w:hAnsi="ＭＳ 明朝" w:hint="eastAsia"/>
          <w:w w:val="98"/>
          <w:szCs w:val="24"/>
          <w:fitText w:val="9120" w:id="-1743090176"/>
        </w:rPr>
        <w:t>これは主に</w:t>
      </w:r>
      <w:r w:rsidR="003D24E3" w:rsidRPr="00A552F7">
        <w:rPr>
          <w:rFonts w:hAnsi="ＭＳ 明朝" w:hint="eastAsia"/>
          <w:spacing w:val="48"/>
          <w:w w:val="98"/>
          <w:szCs w:val="24"/>
          <w:fitText w:val="9120" w:id="-1743090176"/>
        </w:rPr>
        <w:t>、</w:t>
      </w:r>
      <w:r w:rsidR="00714CEA" w:rsidRPr="00A552F7">
        <w:rPr>
          <w:rFonts w:hAnsi="ＭＳ 明朝" w:hint="eastAsia"/>
        </w:rPr>
        <w:t>学校施設整備事業債</w:t>
      </w:r>
      <w:r w:rsidR="006556A8" w:rsidRPr="00A552F7">
        <w:rPr>
          <w:rFonts w:hAnsi="ＭＳ 明朝" w:hint="eastAsia"/>
        </w:rPr>
        <w:t>が</w:t>
      </w:r>
      <w:r w:rsidR="00714CEA" w:rsidRPr="00A552F7">
        <w:rPr>
          <w:rFonts w:hAnsi="ＭＳ 明朝" w:hint="eastAsia"/>
        </w:rPr>
        <w:t>減少</w:t>
      </w:r>
      <w:r w:rsidR="006556A8" w:rsidRPr="00A552F7">
        <w:rPr>
          <w:rFonts w:hAnsi="ＭＳ 明朝" w:hint="eastAsia"/>
        </w:rPr>
        <w:t>したものの、</w:t>
      </w:r>
      <w:r w:rsidR="00714CEA" w:rsidRPr="00A552F7">
        <w:rPr>
          <w:rFonts w:hAnsi="ＭＳ 明朝" w:hint="eastAsia"/>
        </w:rPr>
        <w:t>中心市街地活性化推進事業債</w:t>
      </w:r>
      <w:r w:rsidR="006556A8" w:rsidRPr="00A552F7">
        <w:rPr>
          <w:rFonts w:hAnsi="ＭＳ 明朝" w:hint="eastAsia"/>
        </w:rPr>
        <w:t>、</w:t>
      </w:r>
      <w:r w:rsidR="00714CEA" w:rsidRPr="00A552F7">
        <w:rPr>
          <w:rFonts w:hAnsi="ＭＳ 明朝" w:hint="eastAsia"/>
        </w:rPr>
        <w:t>防災センター整備事業債</w:t>
      </w:r>
      <w:r w:rsidR="00295D50" w:rsidRPr="00A552F7">
        <w:rPr>
          <w:rFonts w:hAnsi="ＭＳ 明朝" w:hint="eastAsia"/>
        </w:rPr>
        <w:t>が増加</w:t>
      </w:r>
      <w:r w:rsidR="006556A8" w:rsidRPr="00A552F7">
        <w:rPr>
          <w:rFonts w:hAnsi="ＭＳ 明朝" w:hint="eastAsia"/>
        </w:rPr>
        <w:t>したことによるものである。</w:t>
      </w:r>
    </w:p>
    <w:p w:rsidR="00940888" w:rsidRPr="00A552F7" w:rsidRDefault="00D15ABA" w:rsidP="00AB61C0">
      <w:pPr>
        <w:kinsoku w:val="0"/>
        <w:overflowPunct w:val="0"/>
        <w:snapToGrid w:val="0"/>
        <w:spacing w:line="240" w:lineRule="auto"/>
        <w:ind w:leftChars="300" w:left="720" w:firstLineChars="100" w:firstLine="240"/>
        <w:rPr>
          <w:rFonts w:hAnsi="ＭＳ 明朝"/>
          <w:szCs w:val="24"/>
        </w:rPr>
      </w:pPr>
      <w:r w:rsidRPr="00A552F7">
        <w:rPr>
          <w:rFonts w:hAnsi="ＭＳ 明朝" w:hint="eastAsia"/>
          <w:szCs w:val="24"/>
        </w:rPr>
        <w:t>一方、</w:t>
      </w:r>
      <w:r w:rsidR="00940888" w:rsidRPr="00A552F7">
        <w:rPr>
          <w:rFonts w:hAnsi="ＭＳ 明朝" w:hint="eastAsia"/>
          <w:szCs w:val="24"/>
        </w:rPr>
        <w:t>収入未済額は</w:t>
      </w:r>
      <w:r w:rsidR="00DF48ED" w:rsidRPr="00A552F7">
        <w:rPr>
          <w:rFonts w:hAnsi="ＭＳ 明朝" w:hint="eastAsia"/>
          <w:szCs w:val="24"/>
        </w:rPr>
        <w:t>5,864,883</w:t>
      </w:r>
      <w:r w:rsidR="00504F95" w:rsidRPr="00A552F7">
        <w:rPr>
          <w:rFonts w:hAnsi="ＭＳ 明朝" w:hint="eastAsia"/>
          <w:szCs w:val="24"/>
        </w:rPr>
        <w:t>千</w:t>
      </w:r>
      <w:r w:rsidR="00940888" w:rsidRPr="00A552F7">
        <w:rPr>
          <w:rFonts w:hAnsi="ＭＳ 明朝" w:hint="eastAsia"/>
          <w:szCs w:val="24"/>
        </w:rPr>
        <w:t>円で、主なものは</w:t>
      </w:r>
      <w:r w:rsidR="00714CEA" w:rsidRPr="00A552F7">
        <w:rPr>
          <w:rFonts w:hAnsi="ＭＳ 明朝" w:hint="eastAsia"/>
          <w:szCs w:val="24"/>
        </w:rPr>
        <w:t>国庫支出金2,848,846</w:t>
      </w:r>
      <w:r w:rsidR="00F82EE0" w:rsidRPr="00A552F7">
        <w:rPr>
          <w:rFonts w:hAnsi="ＭＳ 明朝" w:hint="eastAsia"/>
          <w:szCs w:val="24"/>
        </w:rPr>
        <w:t>千円、</w:t>
      </w:r>
      <w:r w:rsidR="007D5AE4" w:rsidRPr="00A552F7">
        <w:rPr>
          <w:rFonts w:hAnsi="ＭＳ 明朝" w:hint="eastAsia"/>
          <w:szCs w:val="24"/>
        </w:rPr>
        <w:t>市債1,494,100</w:t>
      </w:r>
      <w:r w:rsidR="005436BA" w:rsidRPr="00A552F7">
        <w:rPr>
          <w:rFonts w:hAnsi="ＭＳ 明朝" w:hint="eastAsia"/>
          <w:szCs w:val="24"/>
        </w:rPr>
        <w:t>千円</w:t>
      </w:r>
      <w:r w:rsidR="002664D2" w:rsidRPr="00A552F7">
        <w:rPr>
          <w:rFonts w:hAnsi="ＭＳ 明朝" w:hint="eastAsia"/>
          <w:szCs w:val="24"/>
        </w:rPr>
        <w:t>、市税</w:t>
      </w:r>
      <w:r w:rsidR="007D5AE4" w:rsidRPr="00A552F7">
        <w:rPr>
          <w:rFonts w:hAnsi="ＭＳ 明朝" w:hint="eastAsia"/>
          <w:szCs w:val="24"/>
        </w:rPr>
        <w:t>1,167,477</w:t>
      </w:r>
      <w:r w:rsidR="002664D2" w:rsidRPr="00A552F7">
        <w:rPr>
          <w:rFonts w:hAnsi="ＭＳ 明朝" w:hint="eastAsia"/>
          <w:szCs w:val="24"/>
        </w:rPr>
        <w:t>千円</w:t>
      </w:r>
      <w:r w:rsidR="00940888" w:rsidRPr="00A552F7">
        <w:rPr>
          <w:rFonts w:hAnsi="ＭＳ 明朝" w:hint="eastAsia"/>
          <w:szCs w:val="24"/>
        </w:rPr>
        <w:t>で</w:t>
      </w:r>
      <w:r w:rsidR="00F82EE0" w:rsidRPr="00A552F7">
        <w:rPr>
          <w:rFonts w:hAnsi="ＭＳ 明朝" w:hint="eastAsia"/>
          <w:szCs w:val="24"/>
        </w:rPr>
        <w:t>、</w:t>
      </w:r>
      <w:r w:rsidR="00940888" w:rsidRPr="00A552F7">
        <w:rPr>
          <w:rFonts w:hAnsi="ＭＳ 明朝" w:hint="eastAsia"/>
          <w:szCs w:val="24"/>
        </w:rPr>
        <w:t>前年度に比べ</w:t>
      </w:r>
      <w:r w:rsidR="007D5AE4" w:rsidRPr="00A552F7">
        <w:rPr>
          <w:rFonts w:hAnsi="ＭＳ 明朝" w:hint="eastAsia"/>
          <w:szCs w:val="24"/>
        </w:rPr>
        <w:t>1,965,427</w:t>
      </w:r>
      <w:r w:rsidR="00427CAB" w:rsidRPr="00A552F7">
        <w:rPr>
          <w:rFonts w:hAnsi="ＭＳ 明朝" w:hint="eastAsia"/>
          <w:szCs w:val="24"/>
        </w:rPr>
        <w:t>千円(</w:t>
      </w:r>
      <w:r w:rsidR="007D5AE4" w:rsidRPr="00A552F7">
        <w:rPr>
          <w:rFonts w:hAnsi="ＭＳ 明朝" w:hint="eastAsia"/>
          <w:szCs w:val="24"/>
        </w:rPr>
        <w:t>50.4</w:t>
      </w:r>
      <w:r w:rsidR="00427CAB" w:rsidRPr="00A552F7">
        <w:rPr>
          <w:rFonts w:hAnsi="ＭＳ 明朝" w:hint="eastAsia"/>
          <w:szCs w:val="24"/>
        </w:rPr>
        <w:t>％)</w:t>
      </w:r>
      <w:r w:rsidR="009C2267" w:rsidRPr="00A552F7">
        <w:rPr>
          <w:rFonts w:hAnsi="ＭＳ 明朝" w:hint="eastAsia"/>
          <w:szCs w:val="24"/>
        </w:rPr>
        <w:t>増加</w:t>
      </w:r>
      <w:r w:rsidR="00940888" w:rsidRPr="00A552F7">
        <w:rPr>
          <w:rFonts w:hAnsi="ＭＳ 明朝" w:hint="eastAsia"/>
          <w:szCs w:val="24"/>
        </w:rPr>
        <w:t>している。</w:t>
      </w:r>
    </w:p>
    <w:p w:rsidR="00940888" w:rsidRDefault="00940888" w:rsidP="00394771">
      <w:pPr>
        <w:kinsoku w:val="0"/>
        <w:overflowPunct w:val="0"/>
        <w:snapToGrid w:val="0"/>
        <w:spacing w:line="240" w:lineRule="auto"/>
        <w:ind w:leftChars="300" w:left="720" w:firstLineChars="100" w:firstLine="240"/>
        <w:rPr>
          <w:rFonts w:hAnsi="ＭＳ 明朝"/>
          <w:szCs w:val="24"/>
        </w:rPr>
      </w:pPr>
      <w:r w:rsidRPr="00A552F7">
        <w:rPr>
          <w:rFonts w:hAnsi="ＭＳ 明朝" w:hint="eastAsia"/>
          <w:szCs w:val="24"/>
        </w:rPr>
        <w:t>不納欠損額は</w:t>
      </w:r>
      <w:r w:rsidR="007D5AE4" w:rsidRPr="00A552F7">
        <w:rPr>
          <w:rFonts w:hAnsi="ＭＳ 明朝" w:hint="eastAsia"/>
          <w:szCs w:val="24"/>
        </w:rPr>
        <w:t>62,869</w:t>
      </w:r>
      <w:r w:rsidRPr="00A552F7">
        <w:rPr>
          <w:rFonts w:hAnsi="ＭＳ 明朝" w:hint="eastAsia"/>
          <w:szCs w:val="24"/>
        </w:rPr>
        <w:t>千円で、前年度に比べ</w:t>
      </w:r>
      <w:r w:rsidR="007D5AE4" w:rsidRPr="00A552F7">
        <w:rPr>
          <w:rFonts w:hAnsi="ＭＳ 明朝" w:hint="eastAsia"/>
          <w:szCs w:val="24"/>
        </w:rPr>
        <w:t>6,297</w:t>
      </w:r>
      <w:r w:rsidRPr="00A552F7">
        <w:rPr>
          <w:rFonts w:hAnsi="ＭＳ 明朝" w:hint="eastAsia"/>
          <w:szCs w:val="24"/>
        </w:rPr>
        <w:t>千円</w:t>
      </w:r>
      <w:r w:rsidR="00427CAB" w:rsidRPr="00A552F7">
        <w:rPr>
          <w:rFonts w:hAnsi="ＭＳ 明朝" w:hint="eastAsia"/>
          <w:szCs w:val="24"/>
        </w:rPr>
        <w:t>(</w:t>
      </w:r>
      <w:r w:rsidR="007D5AE4" w:rsidRPr="00A552F7">
        <w:rPr>
          <w:rFonts w:hAnsi="ＭＳ 明朝" w:hint="eastAsia"/>
          <w:szCs w:val="24"/>
        </w:rPr>
        <w:t>11.1</w:t>
      </w:r>
      <w:r w:rsidRPr="00A552F7">
        <w:rPr>
          <w:rFonts w:hAnsi="ＭＳ 明朝" w:hint="eastAsia"/>
          <w:szCs w:val="24"/>
        </w:rPr>
        <w:t>％</w:t>
      </w:r>
      <w:r w:rsidR="00427CAB" w:rsidRPr="00A552F7">
        <w:rPr>
          <w:rFonts w:hAnsi="ＭＳ 明朝" w:hint="eastAsia"/>
          <w:szCs w:val="24"/>
        </w:rPr>
        <w:t>)</w:t>
      </w:r>
      <w:r w:rsidR="007D5AE4" w:rsidRPr="00A552F7">
        <w:rPr>
          <w:rFonts w:hAnsi="ＭＳ 明朝" w:hint="eastAsia"/>
          <w:szCs w:val="24"/>
        </w:rPr>
        <w:t>増加</w:t>
      </w:r>
      <w:r w:rsidRPr="00A552F7">
        <w:rPr>
          <w:rFonts w:hAnsi="ＭＳ 明朝" w:hint="eastAsia"/>
          <w:szCs w:val="24"/>
        </w:rPr>
        <w:t>している</w:t>
      </w:r>
      <w:r w:rsidRPr="00EC4DA8">
        <w:rPr>
          <w:rFonts w:hAnsi="ＭＳ 明朝" w:hint="eastAsia"/>
          <w:szCs w:val="24"/>
        </w:rPr>
        <w:t>。</w:t>
      </w:r>
    </w:p>
    <w:p w:rsidR="00AE1959" w:rsidRPr="002F5AED" w:rsidRDefault="00AE1959" w:rsidP="00394771">
      <w:pPr>
        <w:kinsoku w:val="0"/>
        <w:overflowPunct w:val="0"/>
        <w:snapToGrid w:val="0"/>
        <w:spacing w:line="240" w:lineRule="auto"/>
        <w:ind w:leftChars="300" w:left="720" w:firstLineChars="100" w:firstLine="240"/>
        <w:rPr>
          <w:rFonts w:hAnsi="ＭＳ 明朝"/>
          <w:szCs w:val="24"/>
        </w:rPr>
      </w:pPr>
    </w:p>
    <w:p w:rsidR="006556A8" w:rsidRPr="003F4263" w:rsidRDefault="006556A8" w:rsidP="00940888">
      <w:pPr>
        <w:spacing w:line="240" w:lineRule="auto"/>
        <w:rPr>
          <w:rFonts w:hAnsi="ＭＳ 明朝"/>
          <w:color w:val="FF0000"/>
          <w:szCs w:val="24"/>
        </w:rPr>
      </w:pPr>
    </w:p>
    <w:p w:rsidR="006556A8" w:rsidRPr="00552398" w:rsidRDefault="006556A8" w:rsidP="006556A8">
      <w:pPr>
        <w:kinsoku w:val="0"/>
        <w:overflowPunct w:val="0"/>
        <w:snapToGrid w:val="0"/>
        <w:spacing w:line="240" w:lineRule="auto"/>
        <w:ind w:firstLineChars="200" w:firstLine="480"/>
        <w:rPr>
          <w:rFonts w:hAnsi="ＭＳ 明朝"/>
          <w:szCs w:val="24"/>
        </w:rPr>
      </w:pPr>
      <w:r w:rsidRPr="00552398">
        <w:rPr>
          <w:rFonts w:asciiTheme="majorEastAsia" w:eastAsiaTheme="majorEastAsia" w:hAnsiTheme="majorEastAsia" w:hint="eastAsia"/>
          <w:snapToGrid w:val="0"/>
          <w:szCs w:val="24"/>
        </w:rPr>
        <w:t>一般会計歳入款別構成状況</w:t>
      </w:r>
      <w:r w:rsidRPr="00552398">
        <w:rPr>
          <w:rFonts w:hAnsi="ＭＳ 明朝" w:hint="eastAsia"/>
          <w:b/>
          <w:szCs w:val="24"/>
        </w:rPr>
        <w:t xml:space="preserve">　　　　　　　　　　　</w:t>
      </w:r>
      <w:r w:rsidRPr="00552398">
        <w:rPr>
          <w:rFonts w:hAnsi="ＭＳ 明朝" w:hint="eastAsia"/>
          <w:szCs w:val="24"/>
        </w:rPr>
        <w:t xml:space="preserve">　　　　　　　（単位：％）</w:t>
      </w:r>
    </w:p>
    <w:p w:rsidR="006556A8" w:rsidRPr="00552398" w:rsidRDefault="006556A8" w:rsidP="00DC3334">
      <w:pPr>
        <w:kinsoku w:val="0"/>
        <w:overflowPunct w:val="0"/>
        <w:snapToGrid w:val="0"/>
        <w:spacing w:line="240" w:lineRule="auto"/>
        <w:rPr>
          <w:rFonts w:hAnsi="ＭＳ 明朝"/>
          <w:color w:val="0070C0"/>
          <w:szCs w:val="24"/>
          <w:highlight w:val="yellow"/>
        </w:rPr>
      </w:pPr>
    </w:p>
    <w:p w:rsidR="006556A8" w:rsidRPr="00940888" w:rsidRDefault="007D5AE4" w:rsidP="006556A8">
      <w:pPr>
        <w:kinsoku w:val="0"/>
        <w:overflowPunct w:val="0"/>
        <w:snapToGrid w:val="0"/>
        <w:spacing w:line="240" w:lineRule="auto"/>
        <w:jc w:val="center"/>
        <w:rPr>
          <w:rFonts w:ascii="ＭＳ ゴシック" w:eastAsia="ＭＳ ゴシック" w:hAnsi="ＭＳ ゴシック"/>
          <w:bCs/>
          <w:szCs w:val="24"/>
        </w:rPr>
      </w:pPr>
      <w:r>
        <w:rPr>
          <w:rFonts w:ascii="ＭＳ ゴシック" w:eastAsia="ＭＳ ゴシック" w:hAnsi="ＭＳ ゴシック" w:hint="eastAsia"/>
          <w:bCs/>
          <w:szCs w:val="24"/>
        </w:rPr>
        <w:t>令和２</w:t>
      </w:r>
      <w:r w:rsidR="006556A8" w:rsidRPr="009F34B9">
        <w:rPr>
          <w:rFonts w:ascii="ＭＳ ゴシック" w:eastAsia="ＭＳ ゴシック" w:hAnsi="ＭＳ ゴシック"/>
          <w:bCs/>
          <w:szCs w:val="24"/>
        </w:rPr>
        <w:t xml:space="preserve">年度歳入決算額　</w:t>
      </w:r>
      <w:r>
        <w:rPr>
          <w:rFonts w:ascii="ＭＳ ゴシック" w:eastAsia="ＭＳ ゴシック" w:hAnsi="ＭＳ ゴシック" w:hint="eastAsia"/>
          <w:bCs/>
          <w:szCs w:val="24"/>
        </w:rPr>
        <w:t>90,451,163</w:t>
      </w:r>
      <w:r w:rsidR="006556A8" w:rsidRPr="009F34B9">
        <w:rPr>
          <w:rFonts w:ascii="ＭＳ ゴシック" w:eastAsia="ＭＳ ゴシック" w:hAnsi="ＭＳ ゴシック"/>
          <w:bCs/>
          <w:szCs w:val="24"/>
        </w:rPr>
        <w:t>千円</w:t>
      </w:r>
    </w:p>
    <w:p w:rsidR="003E7FE5" w:rsidRPr="006556A8" w:rsidRDefault="00413A29" w:rsidP="00940888">
      <w:pPr>
        <w:spacing w:line="240" w:lineRule="auto"/>
        <w:rPr>
          <w:rFonts w:hAnsi="ＭＳ 明朝"/>
          <w:szCs w:val="24"/>
        </w:rPr>
      </w:pPr>
      <w:r>
        <w:rPr>
          <w:rFonts w:hAnsi="ＭＳ 明朝"/>
          <w:noProof/>
          <w:szCs w:val="24"/>
        </w:rPr>
        <w:drawing>
          <wp:inline distT="0" distB="0" distL="0" distR="0" wp14:anchorId="393E141E" wp14:editId="1D969579">
            <wp:extent cx="6086475" cy="3429000"/>
            <wp:effectExtent l="0" t="0" r="0" b="0"/>
            <wp:docPr id="2" name="オブジェクト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FD4DDB" w:rsidRPr="006556A8" w:rsidRDefault="006556A8" w:rsidP="00413A29">
      <w:pPr>
        <w:spacing w:line="240" w:lineRule="auto"/>
        <w:ind w:left="5400" w:hangingChars="2700" w:hanging="5400"/>
        <w:jc w:val="right"/>
        <w:rPr>
          <w:rFonts w:hAnsi="ＭＳ 明朝"/>
          <w:szCs w:val="24"/>
        </w:rPr>
      </w:pPr>
      <w:r>
        <w:rPr>
          <w:rFonts w:hAnsi="ＭＳ 明朝" w:hint="eastAsia"/>
          <w:sz w:val="20"/>
          <w:szCs w:val="22"/>
        </w:rPr>
        <w:t xml:space="preserve">　</w:t>
      </w:r>
      <w:r w:rsidRPr="007A17FB">
        <w:rPr>
          <w:rFonts w:hAnsi="ＭＳ 明朝" w:hint="eastAsia"/>
          <w:sz w:val="20"/>
          <w:szCs w:val="22"/>
        </w:rPr>
        <w:t>(注)　(　)</w:t>
      </w:r>
      <w:r w:rsidR="008155A1">
        <w:rPr>
          <w:rFonts w:hAnsi="ＭＳ 明朝" w:hint="eastAsia"/>
          <w:sz w:val="20"/>
          <w:szCs w:val="22"/>
        </w:rPr>
        <w:t>内は、令和元</w:t>
      </w:r>
      <w:r w:rsidRPr="007A17FB">
        <w:rPr>
          <w:rFonts w:hAnsi="ＭＳ 明朝" w:hint="eastAsia"/>
          <w:sz w:val="20"/>
          <w:szCs w:val="22"/>
        </w:rPr>
        <w:t>年度数値</w:t>
      </w:r>
    </w:p>
    <w:p w:rsidR="00A24C3F" w:rsidRDefault="00EA36EF" w:rsidP="0062344B">
      <w:pPr>
        <w:spacing w:line="240" w:lineRule="auto"/>
        <w:ind w:right="-1"/>
        <w:jc w:val="right"/>
        <w:rPr>
          <w:rFonts w:ascii="ＭＳ ゴシック" w:eastAsia="ＭＳ ゴシック" w:hAnsi="ＭＳ ゴシック"/>
          <w:szCs w:val="24"/>
        </w:rPr>
      </w:pPr>
      <w:r w:rsidRPr="00B60D86">
        <w:rPr>
          <w:rFonts w:ascii="ＭＳ ゴシック" w:eastAsia="ＭＳ ゴシック" w:hAnsi="ＭＳ ゴシック" w:hint="eastAsia"/>
          <w:szCs w:val="24"/>
        </w:rPr>
        <w:lastRenderedPageBreak/>
        <w:t>一</w:t>
      </w:r>
      <w:r>
        <w:rPr>
          <w:rFonts w:ascii="ＭＳ ゴシック" w:eastAsia="ＭＳ ゴシック" w:hAnsi="ＭＳ ゴシック" w:hint="eastAsia"/>
          <w:szCs w:val="24"/>
        </w:rPr>
        <w:t xml:space="preserve">　</w:t>
      </w:r>
      <w:r w:rsidRPr="00B60D86">
        <w:rPr>
          <w:rFonts w:ascii="ＭＳ ゴシック" w:eastAsia="ＭＳ ゴシック" w:hAnsi="ＭＳ ゴシック" w:hint="eastAsia"/>
          <w:szCs w:val="24"/>
        </w:rPr>
        <w:t>般</w:t>
      </w:r>
      <w:r>
        <w:rPr>
          <w:rFonts w:ascii="ＭＳ ゴシック" w:eastAsia="ＭＳ ゴシック" w:hAnsi="ＭＳ ゴシック" w:hint="eastAsia"/>
          <w:szCs w:val="24"/>
        </w:rPr>
        <w:t xml:space="preserve">　</w:t>
      </w:r>
      <w:r w:rsidRPr="00B60D86">
        <w:rPr>
          <w:rFonts w:ascii="ＭＳ ゴシック" w:eastAsia="ＭＳ ゴシック" w:hAnsi="ＭＳ ゴシック" w:hint="eastAsia"/>
          <w:szCs w:val="24"/>
        </w:rPr>
        <w:t>会</w:t>
      </w:r>
      <w:r>
        <w:rPr>
          <w:rFonts w:ascii="ＭＳ ゴシック" w:eastAsia="ＭＳ ゴシック" w:hAnsi="ＭＳ ゴシック" w:hint="eastAsia"/>
          <w:szCs w:val="24"/>
        </w:rPr>
        <w:t xml:space="preserve">　</w:t>
      </w:r>
      <w:r w:rsidRPr="00B60D86">
        <w:rPr>
          <w:rFonts w:ascii="ＭＳ ゴシック" w:eastAsia="ＭＳ ゴシック" w:hAnsi="ＭＳ ゴシック" w:hint="eastAsia"/>
          <w:szCs w:val="24"/>
        </w:rPr>
        <w:t>計</w:t>
      </w:r>
      <w:r>
        <w:rPr>
          <w:rFonts w:ascii="ＭＳ ゴシック" w:eastAsia="ＭＳ ゴシック" w:hAnsi="ＭＳ ゴシック" w:hint="eastAsia"/>
          <w:szCs w:val="24"/>
        </w:rPr>
        <w:t xml:space="preserve">　歳　入</w:t>
      </w:r>
    </w:p>
    <w:p w:rsidR="00460048" w:rsidRPr="00524FE9" w:rsidRDefault="00460048" w:rsidP="00EA36EF">
      <w:pPr>
        <w:spacing w:line="240" w:lineRule="auto"/>
        <w:ind w:right="-1"/>
        <w:jc w:val="right"/>
        <w:rPr>
          <w:rFonts w:ascii="ＭＳ ゴシック" w:eastAsia="ＭＳ ゴシック" w:hAnsi="ＭＳ ゴシック"/>
          <w:szCs w:val="24"/>
        </w:rPr>
      </w:pPr>
    </w:p>
    <w:p w:rsidR="00172F6D" w:rsidRDefault="00830BF3" w:rsidP="00B9533C">
      <w:pPr>
        <w:tabs>
          <w:tab w:val="left" w:pos="7655"/>
        </w:tabs>
        <w:spacing w:line="240" w:lineRule="auto"/>
        <w:rPr>
          <w:rFonts w:hAnsi="ＭＳ 明朝"/>
          <w:szCs w:val="24"/>
        </w:rPr>
      </w:pPr>
      <w:r w:rsidRPr="00AE1072">
        <w:rPr>
          <w:rFonts w:hAnsi="ＭＳ 明朝"/>
          <w:szCs w:val="24"/>
        </w:rPr>
        <w:pict>
          <v:shape id="_x0000_i1037" type="#_x0000_t75" style="width:468.5pt;height:654.5pt">
            <v:imagedata r:id="rId10" o:title=""/>
          </v:shape>
        </w:pict>
      </w:r>
    </w:p>
    <w:p w:rsidR="00A24C3F" w:rsidRPr="008B3EC6" w:rsidRDefault="003E1B30" w:rsidP="00B9533C">
      <w:pPr>
        <w:tabs>
          <w:tab w:val="left" w:pos="7655"/>
        </w:tabs>
        <w:spacing w:line="240" w:lineRule="auto"/>
        <w:rPr>
          <w:rFonts w:hAnsi="ＭＳ 明朝"/>
          <w:szCs w:val="24"/>
        </w:rPr>
      </w:pPr>
      <w:r w:rsidRPr="007A17FB">
        <w:rPr>
          <w:rFonts w:hAnsi="ＭＳ 明朝" w:hint="eastAsia"/>
          <w:sz w:val="20"/>
          <w:szCs w:val="18"/>
        </w:rPr>
        <w:t>(注) 「収入済額」欄</w:t>
      </w:r>
      <w:r w:rsidR="00641701">
        <w:rPr>
          <w:rFonts w:hAnsi="ＭＳ 明朝" w:hint="eastAsia"/>
          <w:sz w:val="20"/>
          <w:szCs w:val="18"/>
        </w:rPr>
        <w:t>中</w:t>
      </w:r>
      <w:r w:rsidRPr="007A17FB">
        <w:rPr>
          <w:rFonts w:hAnsi="ＭＳ 明朝" w:hint="eastAsia"/>
          <w:sz w:val="20"/>
          <w:szCs w:val="18"/>
        </w:rPr>
        <w:t>の(</w:t>
      </w:r>
      <w:r w:rsidR="00641701">
        <w:rPr>
          <w:rFonts w:hAnsi="ＭＳ 明朝" w:hint="eastAsia"/>
          <w:sz w:val="20"/>
          <w:szCs w:val="18"/>
        </w:rPr>
        <w:t xml:space="preserve">　</w:t>
      </w:r>
      <w:r w:rsidRPr="007A17FB">
        <w:rPr>
          <w:rFonts w:hAnsi="ＭＳ 明朝" w:hint="eastAsia"/>
          <w:sz w:val="20"/>
          <w:szCs w:val="18"/>
        </w:rPr>
        <w:t>)内は、「収入済額」に含まれる還付未了額である。</w:t>
      </w:r>
    </w:p>
    <w:p w:rsidR="003E7FE5" w:rsidRPr="0062344B" w:rsidRDefault="0062344B" w:rsidP="00DD0C22">
      <w:pPr>
        <w:spacing w:line="240" w:lineRule="auto"/>
        <w:rPr>
          <w:rFonts w:ascii="ＭＳ ゴシック" w:eastAsia="ＭＳ ゴシック" w:hAnsi="ＭＳ ゴシック"/>
          <w:szCs w:val="24"/>
        </w:rPr>
      </w:pPr>
      <w:r w:rsidRPr="0062344B">
        <w:rPr>
          <w:rFonts w:ascii="ＭＳ ゴシック" w:eastAsia="ＭＳ ゴシック" w:hAnsi="ＭＳ ゴシック" w:hint="eastAsia"/>
          <w:szCs w:val="24"/>
        </w:rPr>
        <w:lastRenderedPageBreak/>
        <w:t>款</w:t>
      </w:r>
      <w:r>
        <w:rPr>
          <w:rFonts w:ascii="ＭＳ ゴシック" w:eastAsia="ＭＳ ゴシック" w:hAnsi="ＭＳ ゴシック" w:hint="eastAsia"/>
          <w:szCs w:val="24"/>
        </w:rPr>
        <w:t xml:space="preserve">　</w:t>
      </w:r>
      <w:r w:rsidRPr="0062344B">
        <w:rPr>
          <w:rFonts w:ascii="ＭＳ ゴシック" w:eastAsia="ＭＳ ゴシック" w:hAnsi="ＭＳ ゴシック" w:hint="eastAsia"/>
          <w:szCs w:val="24"/>
        </w:rPr>
        <w:t>別</w:t>
      </w:r>
      <w:r>
        <w:rPr>
          <w:rFonts w:ascii="ＭＳ ゴシック" w:eastAsia="ＭＳ ゴシック" w:hAnsi="ＭＳ ゴシック" w:hint="eastAsia"/>
          <w:szCs w:val="24"/>
        </w:rPr>
        <w:t xml:space="preserve">　</w:t>
      </w:r>
      <w:r w:rsidRPr="0062344B">
        <w:rPr>
          <w:rFonts w:ascii="ＭＳ ゴシック" w:eastAsia="ＭＳ ゴシック" w:hAnsi="ＭＳ ゴシック" w:hint="eastAsia"/>
          <w:szCs w:val="24"/>
        </w:rPr>
        <w:t>決</w:t>
      </w:r>
      <w:r>
        <w:rPr>
          <w:rFonts w:ascii="ＭＳ ゴシック" w:eastAsia="ＭＳ ゴシック" w:hAnsi="ＭＳ ゴシック" w:hint="eastAsia"/>
          <w:szCs w:val="24"/>
        </w:rPr>
        <w:t xml:space="preserve">　</w:t>
      </w:r>
      <w:r w:rsidRPr="0062344B">
        <w:rPr>
          <w:rFonts w:ascii="ＭＳ ゴシック" w:eastAsia="ＭＳ ゴシック" w:hAnsi="ＭＳ ゴシック" w:hint="eastAsia"/>
          <w:szCs w:val="24"/>
        </w:rPr>
        <w:t>算</w:t>
      </w:r>
      <w:r>
        <w:rPr>
          <w:rFonts w:ascii="ＭＳ ゴシック" w:eastAsia="ＭＳ ゴシック" w:hAnsi="ＭＳ ゴシック" w:hint="eastAsia"/>
          <w:szCs w:val="24"/>
        </w:rPr>
        <w:t xml:space="preserve">　</w:t>
      </w:r>
      <w:r w:rsidRPr="0062344B">
        <w:rPr>
          <w:rFonts w:ascii="ＭＳ ゴシック" w:eastAsia="ＭＳ ゴシック" w:hAnsi="ＭＳ ゴシック" w:hint="eastAsia"/>
          <w:szCs w:val="24"/>
        </w:rPr>
        <w:t>状</w:t>
      </w:r>
      <w:r>
        <w:rPr>
          <w:rFonts w:ascii="ＭＳ ゴシック" w:eastAsia="ＭＳ ゴシック" w:hAnsi="ＭＳ ゴシック" w:hint="eastAsia"/>
          <w:szCs w:val="24"/>
        </w:rPr>
        <w:t xml:space="preserve">　</w:t>
      </w:r>
      <w:r w:rsidRPr="0062344B">
        <w:rPr>
          <w:rFonts w:ascii="ＭＳ ゴシック" w:eastAsia="ＭＳ ゴシック" w:hAnsi="ＭＳ ゴシック" w:hint="eastAsia"/>
          <w:szCs w:val="24"/>
        </w:rPr>
        <w:t>況</w:t>
      </w:r>
    </w:p>
    <w:p w:rsidR="00BA380F" w:rsidRDefault="00430062" w:rsidP="008275A9">
      <w:pPr>
        <w:spacing w:line="240" w:lineRule="auto"/>
        <w:ind w:right="-1" w:firstLineChars="3400" w:firstLine="7480"/>
        <w:jc w:val="right"/>
        <w:rPr>
          <w:rFonts w:hAnsi="ＭＳ 明朝"/>
          <w:szCs w:val="24"/>
        </w:rPr>
      </w:pPr>
      <w:r>
        <w:rPr>
          <w:rFonts w:hAnsi="ＭＳ 明朝" w:hint="eastAsia"/>
          <w:sz w:val="22"/>
          <w:szCs w:val="22"/>
        </w:rPr>
        <w:t xml:space="preserve">　</w:t>
      </w:r>
      <w:r w:rsidR="0062344B" w:rsidRPr="002E0E10">
        <w:rPr>
          <w:rFonts w:hAnsi="ＭＳ 明朝" w:hint="eastAsia"/>
          <w:szCs w:val="24"/>
        </w:rPr>
        <w:t>（単位：千円・％）</w:t>
      </w:r>
      <w:r w:rsidR="00830BF3" w:rsidRPr="00AE1072">
        <w:rPr>
          <w:rFonts w:hAnsi="ＭＳ 明朝"/>
          <w:szCs w:val="24"/>
        </w:rPr>
        <w:pict>
          <v:shape id="_x0000_i1039" type="#_x0000_t75" style="width:471pt;height:655.5pt">
            <v:imagedata r:id="rId11" o:title=""/>
          </v:shape>
        </w:pict>
      </w:r>
    </w:p>
    <w:p w:rsidR="008275A9" w:rsidRDefault="008275A9" w:rsidP="00986458">
      <w:pPr>
        <w:kinsoku w:val="0"/>
        <w:overflowPunct w:val="0"/>
        <w:snapToGrid w:val="0"/>
        <w:spacing w:line="240" w:lineRule="auto"/>
        <w:ind w:firstLineChars="200" w:firstLine="480"/>
        <w:rPr>
          <w:rFonts w:ascii="ＭＳ ゴシック" w:eastAsia="ＭＳ ゴシック" w:hAnsi="ＭＳ ゴシック"/>
          <w:szCs w:val="24"/>
        </w:rPr>
      </w:pPr>
    </w:p>
    <w:p w:rsidR="00986458" w:rsidRPr="00265F31" w:rsidRDefault="00986458" w:rsidP="00631C59">
      <w:pPr>
        <w:pStyle w:val="af0"/>
        <w:numPr>
          <w:ilvl w:val="0"/>
          <w:numId w:val="1"/>
        </w:numPr>
        <w:kinsoku w:val="0"/>
        <w:overflowPunct w:val="0"/>
        <w:snapToGrid w:val="0"/>
        <w:spacing w:line="240" w:lineRule="auto"/>
        <w:ind w:leftChars="0"/>
        <w:rPr>
          <w:rFonts w:ascii="ＭＳ ゴシック" w:eastAsia="ＭＳ ゴシック" w:hAnsi="ＭＳ ゴシック"/>
          <w:szCs w:val="24"/>
        </w:rPr>
      </w:pPr>
      <w:r w:rsidRPr="00631C59">
        <w:rPr>
          <w:rFonts w:ascii="ＭＳ ゴシック" w:eastAsia="ＭＳ ゴシック" w:hAnsi="ＭＳ ゴシック" w:hint="eastAsia"/>
          <w:szCs w:val="24"/>
        </w:rPr>
        <w:lastRenderedPageBreak/>
        <w:t xml:space="preserve">  </w:t>
      </w:r>
      <w:r w:rsidRPr="00265F31">
        <w:rPr>
          <w:rFonts w:ascii="ＭＳ ゴシック" w:eastAsia="ＭＳ ゴシック" w:hAnsi="ＭＳ ゴシック" w:hint="eastAsia"/>
          <w:szCs w:val="24"/>
        </w:rPr>
        <w:t>市税の状況</w:t>
      </w:r>
    </w:p>
    <w:p w:rsidR="00986458" w:rsidRPr="00265F31" w:rsidRDefault="00986458" w:rsidP="00A24C3F">
      <w:pPr>
        <w:kinsoku w:val="0"/>
        <w:overflowPunct w:val="0"/>
        <w:snapToGrid w:val="0"/>
        <w:spacing w:line="240" w:lineRule="auto"/>
        <w:ind w:leftChars="300" w:left="720" w:firstLineChars="100" w:firstLine="240"/>
        <w:rPr>
          <w:rFonts w:hAnsi="ＭＳ 明朝"/>
          <w:szCs w:val="24"/>
        </w:rPr>
      </w:pPr>
      <w:r w:rsidRPr="00265F31">
        <w:rPr>
          <w:rFonts w:hAnsi="ＭＳ 明朝" w:hint="eastAsia"/>
          <w:szCs w:val="24"/>
        </w:rPr>
        <w:t>収入済額は</w:t>
      </w:r>
      <w:r w:rsidR="00631C59" w:rsidRPr="00265F31">
        <w:rPr>
          <w:rFonts w:hAnsi="ＭＳ 明朝" w:hint="eastAsia"/>
          <w:szCs w:val="24"/>
        </w:rPr>
        <w:t>25,985,601</w:t>
      </w:r>
      <w:r w:rsidRPr="00265F31">
        <w:rPr>
          <w:rFonts w:hAnsi="ＭＳ 明朝" w:hint="eastAsia"/>
          <w:szCs w:val="24"/>
        </w:rPr>
        <w:t>千円で、前年度に比べ</w:t>
      </w:r>
      <w:r w:rsidR="00631C59" w:rsidRPr="00265F31">
        <w:rPr>
          <w:rFonts w:hAnsi="ＭＳ 明朝" w:hint="eastAsia"/>
          <w:szCs w:val="24"/>
        </w:rPr>
        <w:t>198,149</w:t>
      </w:r>
      <w:r w:rsidRPr="00265F31">
        <w:rPr>
          <w:rFonts w:hAnsi="ＭＳ 明朝" w:hint="eastAsia"/>
          <w:szCs w:val="24"/>
        </w:rPr>
        <w:t>千円(</w:t>
      </w:r>
      <w:r w:rsidR="00631C59" w:rsidRPr="00265F31">
        <w:rPr>
          <w:rFonts w:hAnsi="ＭＳ 明朝" w:hint="eastAsia"/>
          <w:szCs w:val="24"/>
        </w:rPr>
        <w:t>△</w:t>
      </w:r>
      <w:r w:rsidR="00FC3050" w:rsidRPr="00265F31">
        <w:rPr>
          <w:rFonts w:hAnsi="ＭＳ 明朝" w:hint="eastAsia"/>
          <w:szCs w:val="24"/>
        </w:rPr>
        <w:t>0</w:t>
      </w:r>
      <w:r w:rsidR="00192B26" w:rsidRPr="00265F31">
        <w:rPr>
          <w:rFonts w:hAnsi="ＭＳ 明朝" w:hint="eastAsia"/>
          <w:szCs w:val="24"/>
        </w:rPr>
        <w:t>.</w:t>
      </w:r>
      <w:r w:rsidR="00631C59" w:rsidRPr="00265F31">
        <w:rPr>
          <w:rFonts w:hAnsi="ＭＳ 明朝" w:hint="eastAsia"/>
          <w:szCs w:val="24"/>
        </w:rPr>
        <w:t>8</w:t>
      </w:r>
      <w:r w:rsidRPr="00265F31">
        <w:rPr>
          <w:rFonts w:hAnsi="ＭＳ 明朝" w:hint="eastAsia"/>
          <w:szCs w:val="24"/>
        </w:rPr>
        <w:t>％)</w:t>
      </w:r>
      <w:r w:rsidR="00631C59" w:rsidRPr="00265F31">
        <w:rPr>
          <w:rFonts w:hAnsi="ＭＳ 明朝" w:hint="eastAsia"/>
          <w:szCs w:val="24"/>
        </w:rPr>
        <w:t>減少</w:t>
      </w:r>
      <w:r w:rsidR="009D7352" w:rsidRPr="00265F31">
        <w:rPr>
          <w:rFonts w:hAnsi="ＭＳ 明朝" w:hint="eastAsia"/>
          <w:szCs w:val="24"/>
        </w:rPr>
        <w:t>し</w:t>
      </w:r>
      <w:r w:rsidR="00A24C3F" w:rsidRPr="00265F31">
        <w:rPr>
          <w:rFonts w:hAnsi="ＭＳ 明朝" w:hint="eastAsia"/>
          <w:szCs w:val="24"/>
        </w:rPr>
        <w:t>、対予算</w:t>
      </w:r>
      <w:r w:rsidRPr="00265F31">
        <w:rPr>
          <w:rFonts w:hAnsi="ＭＳ 明朝" w:hint="eastAsia"/>
          <w:szCs w:val="24"/>
        </w:rPr>
        <w:t>収入率は</w:t>
      </w:r>
      <w:r w:rsidR="00690C0E" w:rsidRPr="00265F31">
        <w:rPr>
          <w:rFonts w:hAnsi="ＭＳ 明朝" w:hint="eastAsia"/>
          <w:szCs w:val="24"/>
        </w:rPr>
        <w:t>0</w:t>
      </w:r>
      <w:r w:rsidR="005D1B52" w:rsidRPr="00265F31">
        <w:rPr>
          <w:rFonts w:hAnsi="ＭＳ 明朝" w:hint="eastAsia"/>
          <w:szCs w:val="24"/>
        </w:rPr>
        <w:t>.</w:t>
      </w:r>
      <w:r w:rsidR="002602D4" w:rsidRPr="00265F31">
        <w:rPr>
          <w:rFonts w:hAnsi="ＭＳ 明朝" w:hint="eastAsia"/>
          <w:szCs w:val="24"/>
        </w:rPr>
        <w:t>1</w:t>
      </w:r>
      <w:r w:rsidRPr="00265F31">
        <w:rPr>
          <w:rFonts w:hAnsi="ＭＳ 明朝" w:hint="eastAsia"/>
          <w:szCs w:val="24"/>
        </w:rPr>
        <w:t>ポイント</w:t>
      </w:r>
      <w:r w:rsidR="0032119B" w:rsidRPr="00265F31">
        <w:rPr>
          <w:rFonts w:hAnsi="ＭＳ 明朝" w:hint="eastAsia"/>
          <w:szCs w:val="24"/>
        </w:rPr>
        <w:t>、</w:t>
      </w:r>
      <w:r w:rsidRPr="00265F31">
        <w:rPr>
          <w:rFonts w:hAnsi="ＭＳ 明朝" w:hint="eastAsia"/>
          <w:szCs w:val="24"/>
        </w:rPr>
        <w:t>対調定収納率は</w:t>
      </w:r>
      <w:r w:rsidR="005D1B52" w:rsidRPr="00265F31">
        <w:rPr>
          <w:rFonts w:hAnsi="ＭＳ 明朝" w:hint="eastAsia"/>
          <w:szCs w:val="24"/>
        </w:rPr>
        <w:t>0.</w:t>
      </w:r>
      <w:r w:rsidR="002602D4" w:rsidRPr="00265F31">
        <w:rPr>
          <w:rFonts w:hAnsi="ＭＳ 明朝" w:hint="eastAsia"/>
          <w:szCs w:val="24"/>
        </w:rPr>
        <w:t>2</w:t>
      </w:r>
      <w:r w:rsidRPr="00265F31">
        <w:rPr>
          <w:rFonts w:hAnsi="ＭＳ 明朝" w:hint="eastAsia"/>
          <w:szCs w:val="24"/>
        </w:rPr>
        <w:t>ポイント</w:t>
      </w:r>
      <w:r w:rsidR="00704E20" w:rsidRPr="00265F31">
        <w:rPr>
          <w:rFonts w:hAnsi="ＭＳ 明朝" w:hint="eastAsia"/>
          <w:szCs w:val="24"/>
        </w:rPr>
        <w:t>それぞれ</w:t>
      </w:r>
      <w:r w:rsidR="002602D4" w:rsidRPr="00265F31">
        <w:rPr>
          <w:rFonts w:hAnsi="ＭＳ 明朝" w:hint="eastAsia"/>
          <w:szCs w:val="24"/>
        </w:rPr>
        <w:t>低下</w:t>
      </w:r>
      <w:r w:rsidRPr="00265F31">
        <w:rPr>
          <w:rFonts w:hAnsi="ＭＳ 明朝" w:hint="eastAsia"/>
          <w:szCs w:val="24"/>
        </w:rPr>
        <w:t>している。</w:t>
      </w:r>
    </w:p>
    <w:p w:rsidR="004E3054" w:rsidRPr="00265F31" w:rsidRDefault="00986458" w:rsidP="004E3054">
      <w:pPr>
        <w:kinsoku w:val="0"/>
        <w:overflowPunct w:val="0"/>
        <w:snapToGrid w:val="0"/>
        <w:spacing w:line="240" w:lineRule="auto"/>
        <w:ind w:leftChars="300" w:left="720" w:firstLineChars="100" w:firstLine="240"/>
        <w:jc w:val="distribute"/>
        <w:rPr>
          <w:rFonts w:hAnsi="ＭＳ 明朝"/>
          <w:szCs w:val="24"/>
        </w:rPr>
      </w:pPr>
      <w:r w:rsidRPr="00265F31">
        <w:rPr>
          <w:rFonts w:hAnsi="ＭＳ 明朝" w:hint="eastAsia"/>
          <w:szCs w:val="24"/>
        </w:rPr>
        <w:t>収入済額の主なものは、市民税</w:t>
      </w:r>
      <w:r w:rsidR="00F703ED" w:rsidRPr="00265F31">
        <w:rPr>
          <w:rFonts w:hAnsi="ＭＳ 明朝" w:hint="eastAsia"/>
          <w:szCs w:val="24"/>
        </w:rPr>
        <w:t>10,708,782</w:t>
      </w:r>
      <w:r w:rsidRPr="00265F31">
        <w:rPr>
          <w:rFonts w:hAnsi="ＭＳ 明朝" w:hint="eastAsia"/>
          <w:szCs w:val="24"/>
        </w:rPr>
        <w:t>千円、固定資産税</w:t>
      </w:r>
      <w:r w:rsidR="00F703ED" w:rsidRPr="00265F31">
        <w:rPr>
          <w:rFonts w:hAnsi="ＭＳ 明朝" w:hint="eastAsia"/>
          <w:szCs w:val="24"/>
        </w:rPr>
        <w:t>13,635,281</w:t>
      </w:r>
      <w:r w:rsidRPr="00265F31">
        <w:rPr>
          <w:rFonts w:hAnsi="ＭＳ 明朝" w:hint="eastAsia"/>
          <w:szCs w:val="24"/>
        </w:rPr>
        <w:t>千円</w:t>
      </w:r>
    </w:p>
    <w:p w:rsidR="00986458" w:rsidRPr="00265F31" w:rsidRDefault="00986458" w:rsidP="004E3054">
      <w:pPr>
        <w:kinsoku w:val="0"/>
        <w:overflowPunct w:val="0"/>
        <w:snapToGrid w:val="0"/>
        <w:spacing w:line="240" w:lineRule="auto"/>
        <w:ind w:firstLineChars="300" w:firstLine="720"/>
        <w:rPr>
          <w:rFonts w:hAnsi="ＭＳ 明朝"/>
          <w:szCs w:val="24"/>
        </w:rPr>
      </w:pPr>
      <w:r w:rsidRPr="00265F31">
        <w:rPr>
          <w:rFonts w:hAnsi="ＭＳ 明朝" w:hint="eastAsia"/>
          <w:szCs w:val="24"/>
        </w:rPr>
        <w:t>である。</w:t>
      </w:r>
    </w:p>
    <w:p w:rsidR="00E0266B" w:rsidRPr="00265F31" w:rsidRDefault="00FF64E5" w:rsidP="00D32C59">
      <w:pPr>
        <w:kinsoku w:val="0"/>
        <w:overflowPunct w:val="0"/>
        <w:snapToGrid w:val="0"/>
        <w:spacing w:line="240" w:lineRule="auto"/>
        <w:ind w:leftChars="300" w:left="720" w:firstLineChars="100" w:firstLine="240"/>
        <w:jc w:val="left"/>
        <w:rPr>
          <w:rFonts w:hAnsi="ＭＳ 明朝"/>
          <w:szCs w:val="24"/>
        </w:rPr>
      </w:pPr>
      <w:r w:rsidRPr="00265F31">
        <w:rPr>
          <w:rFonts w:hAnsi="ＭＳ 明朝" w:hint="eastAsia"/>
          <w:szCs w:val="24"/>
        </w:rPr>
        <w:t>市民税のうち、個人市民税は</w:t>
      </w:r>
      <w:r w:rsidR="007B72A4" w:rsidRPr="00265F31">
        <w:rPr>
          <w:rFonts w:hAnsi="ＭＳ 明朝" w:hint="eastAsia"/>
          <w:szCs w:val="24"/>
        </w:rPr>
        <w:t>8,998,595</w:t>
      </w:r>
      <w:r w:rsidR="00986458" w:rsidRPr="00265F31">
        <w:rPr>
          <w:rFonts w:hAnsi="ＭＳ 明朝" w:hint="eastAsia"/>
          <w:szCs w:val="24"/>
        </w:rPr>
        <w:t>千円で</w:t>
      </w:r>
      <w:r w:rsidRPr="00265F31">
        <w:rPr>
          <w:rFonts w:hAnsi="ＭＳ 明朝" w:hint="eastAsia"/>
          <w:szCs w:val="24"/>
        </w:rPr>
        <w:t>、</w:t>
      </w:r>
      <w:r w:rsidR="00986458" w:rsidRPr="00265F31">
        <w:rPr>
          <w:rFonts w:hAnsi="ＭＳ 明朝" w:hint="eastAsia"/>
          <w:szCs w:val="24"/>
        </w:rPr>
        <w:t>前年度に比べ</w:t>
      </w:r>
      <w:r w:rsidR="007B72A4" w:rsidRPr="00265F31">
        <w:rPr>
          <w:rFonts w:hAnsi="ＭＳ 明朝" w:hint="eastAsia"/>
          <w:szCs w:val="24"/>
        </w:rPr>
        <w:t>100,404</w:t>
      </w:r>
      <w:r w:rsidR="00986458" w:rsidRPr="00265F31">
        <w:rPr>
          <w:rFonts w:hAnsi="ＭＳ 明朝" w:hint="eastAsia"/>
          <w:szCs w:val="24"/>
        </w:rPr>
        <w:t>千円</w:t>
      </w:r>
      <w:r w:rsidR="005114B8" w:rsidRPr="00265F31">
        <w:rPr>
          <w:rFonts w:hAnsi="ＭＳ 明朝" w:hint="eastAsia"/>
          <w:szCs w:val="24"/>
        </w:rPr>
        <w:t>(</w:t>
      </w:r>
      <w:r w:rsidR="007B72A4" w:rsidRPr="00265F31">
        <w:rPr>
          <w:rFonts w:hAnsi="ＭＳ 明朝" w:hint="eastAsia"/>
          <w:szCs w:val="24"/>
        </w:rPr>
        <w:t>1.1</w:t>
      </w:r>
      <w:r w:rsidR="00986458" w:rsidRPr="00265F31">
        <w:rPr>
          <w:rFonts w:hAnsi="ＭＳ 明朝" w:hint="eastAsia"/>
          <w:szCs w:val="24"/>
        </w:rPr>
        <w:t>％)</w:t>
      </w:r>
      <w:r w:rsidR="007B72A4" w:rsidRPr="00265F31">
        <w:rPr>
          <w:rFonts w:hAnsi="ＭＳ 明朝" w:hint="eastAsia"/>
          <w:szCs w:val="24"/>
        </w:rPr>
        <w:t>増加</w:t>
      </w:r>
      <w:r w:rsidR="00986458" w:rsidRPr="00265F31">
        <w:rPr>
          <w:rFonts w:hAnsi="ＭＳ 明朝" w:hint="eastAsia"/>
          <w:szCs w:val="24"/>
        </w:rPr>
        <w:t>している。</w:t>
      </w:r>
      <w:r w:rsidR="0097783F" w:rsidRPr="00265F31">
        <w:rPr>
          <w:rFonts w:hAnsi="ＭＳ 明朝" w:hint="eastAsia"/>
          <w:szCs w:val="24"/>
        </w:rPr>
        <w:t>これは</w:t>
      </w:r>
      <w:r w:rsidR="00350794" w:rsidRPr="00265F31">
        <w:rPr>
          <w:rFonts w:hAnsi="ＭＳ 明朝" w:hint="eastAsia"/>
          <w:szCs w:val="24"/>
        </w:rPr>
        <w:t>主に</w:t>
      </w:r>
      <w:r w:rsidR="004807D7" w:rsidRPr="00265F31">
        <w:rPr>
          <w:rFonts w:hAnsi="ＭＳ 明朝" w:hint="eastAsia"/>
          <w:szCs w:val="24"/>
        </w:rPr>
        <w:t>、</w:t>
      </w:r>
      <w:r w:rsidR="00265F31" w:rsidRPr="00487AB8">
        <w:rPr>
          <w:rFonts w:hAnsi="ＭＳ 明朝" w:hint="eastAsia"/>
          <w:szCs w:val="24"/>
        </w:rPr>
        <w:t>給与所得</w:t>
      </w:r>
      <w:r w:rsidR="00794FA9" w:rsidRPr="00487AB8">
        <w:rPr>
          <w:rFonts w:hAnsi="ＭＳ 明朝" w:hint="eastAsia"/>
          <w:szCs w:val="24"/>
        </w:rPr>
        <w:t>等</w:t>
      </w:r>
      <w:r w:rsidR="007B72A4" w:rsidRPr="00265F31">
        <w:rPr>
          <w:rFonts w:hAnsi="ＭＳ 明朝" w:hint="eastAsia"/>
          <w:szCs w:val="24"/>
        </w:rPr>
        <w:t>の増加</w:t>
      </w:r>
      <w:r w:rsidR="0097783F" w:rsidRPr="00265F31">
        <w:rPr>
          <w:rFonts w:hAnsi="ＭＳ 明朝" w:hint="eastAsia"/>
          <w:szCs w:val="24"/>
        </w:rPr>
        <w:t>によるものである。</w:t>
      </w:r>
    </w:p>
    <w:p w:rsidR="007B72A4" w:rsidRPr="00265F31" w:rsidRDefault="00FF64E5" w:rsidP="00A24C3F">
      <w:pPr>
        <w:kinsoku w:val="0"/>
        <w:overflowPunct w:val="0"/>
        <w:snapToGrid w:val="0"/>
        <w:spacing w:line="240" w:lineRule="auto"/>
        <w:ind w:leftChars="400" w:left="960"/>
        <w:jc w:val="left"/>
        <w:rPr>
          <w:rFonts w:hAnsi="ＭＳ 明朝"/>
          <w:szCs w:val="24"/>
        </w:rPr>
      </w:pPr>
      <w:r w:rsidRPr="00265F31">
        <w:rPr>
          <w:rFonts w:hAnsi="ＭＳ 明朝" w:hint="eastAsia"/>
          <w:szCs w:val="24"/>
        </w:rPr>
        <w:t>法人市民税は</w:t>
      </w:r>
      <w:r w:rsidR="007B72A4" w:rsidRPr="00265F31">
        <w:rPr>
          <w:rFonts w:hAnsi="ＭＳ 明朝" w:hint="eastAsia"/>
          <w:szCs w:val="24"/>
        </w:rPr>
        <w:t>1,710,187</w:t>
      </w:r>
      <w:r w:rsidR="00986458" w:rsidRPr="00265F31">
        <w:rPr>
          <w:rFonts w:hAnsi="ＭＳ 明朝" w:hint="eastAsia"/>
          <w:szCs w:val="24"/>
        </w:rPr>
        <w:t>千円で</w:t>
      </w:r>
      <w:r w:rsidRPr="00265F31">
        <w:rPr>
          <w:rFonts w:hAnsi="ＭＳ 明朝" w:hint="eastAsia"/>
          <w:szCs w:val="24"/>
        </w:rPr>
        <w:t>、</w:t>
      </w:r>
      <w:r w:rsidR="00986458" w:rsidRPr="00265F31">
        <w:rPr>
          <w:rFonts w:hAnsi="ＭＳ 明朝" w:hint="eastAsia"/>
          <w:szCs w:val="24"/>
        </w:rPr>
        <w:t>前年度に比べ</w:t>
      </w:r>
      <w:r w:rsidR="007B72A4" w:rsidRPr="00265F31">
        <w:rPr>
          <w:rFonts w:hAnsi="ＭＳ 明朝" w:hint="eastAsia"/>
          <w:szCs w:val="24"/>
        </w:rPr>
        <w:t>390,827</w:t>
      </w:r>
      <w:r w:rsidR="00DF0E9A" w:rsidRPr="00265F31">
        <w:rPr>
          <w:rFonts w:hAnsi="ＭＳ 明朝" w:hint="eastAsia"/>
          <w:szCs w:val="24"/>
        </w:rPr>
        <w:t>千円</w:t>
      </w:r>
      <w:r w:rsidR="00860429" w:rsidRPr="00265F31">
        <w:rPr>
          <w:rFonts w:hAnsi="ＭＳ 明朝" w:hint="eastAsia"/>
          <w:szCs w:val="24"/>
        </w:rPr>
        <w:t>(</w:t>
      </w:r>
      <w:r w:rsidR="007B72A4" w:rsidRPr="00265F31">
        <w:rPr>
          <w:rFonts w:hAnsi="ＭＳ 明朝" w:hint="eastAsia"/>
          <w:szCs w:val="24"/>
        </w:rPr>
        <w:t>△18.6</w:t>
      </w:r>
      <w:r w:rsidR="00DF0E9A" w:rsidRPr="00265F31">
        <w:rPr>
          <w:rFonts w:hAnsi="ＭＳ 明朝" w:hint="eastAsia"/>
          <w:szCs w:val="24"/>
        </w:rPr>
        <w:t>％</w:t>
      </w:r>
      <w:r w:rsidR="00860429" w:rsidRPr="00265F31">
        <w:rPr>
          <w:rFonts w:hAnsi="ＭＳ 明朝" w:hint="eastAsia"/>
          <w:szCs w:val="24"/>
        </w:rPr>
        <w:t>)</w:t>
      </w:r>
      <w:r w:rsidR="007B72A4" w:rsidRPr="00265F31">
        <w:rPr>
          <w:rFonts w:hAnsi="ＭＳ 明朝" w:hint="eastAsia"/>
          <w:szCs w:val="24"/>
        </w:rPr>
        <w:t>減少</w:t>
      </w:r>
      <w:r w:rsidR="00986458" w:rsidRPr="00265F31">
        <w:rPr>
          <w:rFonts w:hAnsi="ＭＳ 明朝" w:hint="eastAsia"/>
          <w:szCs w:val="24"/>
        </w:rPr>
        <w:t>してい</w:t>
      </w:r>
    </w:p>
    <w:p w:rsidR="00526F7E" w:rsidRPr="00265F31" w:rsidRDefault="00986458" w:rsidP="00752BE6">
      <w:pPr>
        <w:kinsoku w:val="0"/>
        <w:overflowPunct w:val="0"/>
        <w:snapToGrid w:val="0"/>
        <w:spacing w:line="240" w:lineRule="auto"/>
        <w:ind w:leftChars="300" w:left="720"/>
        <w:jc w:val="left"/>
        <w:rPr>
          <w:rFonts w:hAnsi="ＭＳ 明朝"/>
          <w:szCs w:val="24"/>
        </w:rPr>
      </w:pPr>
      <w:r w:rsidRPr="00265F31">
        <w:rPr>
          <w:rFonts w:hAnsi="ＭＳ 明朝" w:hint="eastAsia"/>
          <w:szCs w:val="24"/>
        </w:rPr>
        <w:t>る</w:t>
      </w:r>
      <w:r w:rsidR="009D58D7" w:rsidRPr="00265F31">
        <w:rPr>
          <w:rFonts w:hAnsi="ＭＳ 明朝" w:hint="eastAsia"/>
          <w:szCs w:val="24"/>
        </w:rPr>
        <w:t>。</w:t>
      </w:r>
      <w:r w:rsidR="002D6903" w:rsidRPr="00265F31">
        <w:rPr>
          <w:rFonts w:hAnsi="ＭＳ 明朝" w:hint="eastAsia"/>
          <w:szCs w:val="24"/>
        </w:rPr>
        <w:t>これは</w:t>
      </w:r>
      <w:r w:rsidR="0074474E" w:rsidRPr="00265F31">
        <w:rPr>
          <w:rFonts w:hAnsi="ＭＳ 明朝" w:hint="eastAsia"/>
          <w:szCs w:val="24"/>
        </w:rPr>
        <w:t>主に</w:t>
      </w:r>
      <w:r w:rsidR="002D6903" w:rsidRPr="00265F31">
        <w:rPr>
          <w:rFonts w:hAnsi="ＭＳ 明朝" w:hint="eastAsia"/>
          <w:szCs w:val="24"/>
        </w:rPr>
        <w:t>、</w:t>
      </w:r>
      <w:r w:rsidR="007B72A4" w:rsidRPr="00265F31">
        <w:rPr>
          <w:rFonts w:hAnsi="ＭＳ 明朝" w:hint="eastAsia"/>
          <w:szCs w:val="24"/>
        </w:rPr>
        <w:t>税率</w:t>
      </w:r>
      <w:r w:rsidR="002C5BAC">
        <w:rPr>
          <w:rFonts w:hAnsi="ＭＳ 明朝" w:hint="eastAsia"/>
          <w:szCs w:val="24"/>
        </w:rPr>
        <w:t>の</w:t>
      </w:r>
      <w:r w:rsidR="007B72A4" w:rsidRPr="00265F31">
        <w:rPr>
          <w:rFonts w:hAnsi="ＭＳ 明朝" w:hint="eastAsia"/>
          <w:szCs w:val="24"/>
        </w:rPr>
        <w:t>引</w:t>
      </w:r>
      <w:r w:rsidR="00B80245">
        <w:rPr>
          <w:rFonts w:hAnsi="ＭＳ 明朝" w:hint="eastAsia"/>
          <w:szCs w:val="24"/>
        </w:rPr>
        <w:t>き</w:t>
      </w:r>
      <w:r w:rsidR="007B72A4" w:rsidRPr="00265F31">
        <w:rPr>
          <w:rFonts w:hAnsi="ＭＳ 明朝" w:hint="eastAsia"/>
          <w:szCs w:val="24"/>
        </w:rPr>
        <w:t>下げ</w:t>
      </w:r>
      <w:r w:rsidR="00AC1BDA" w:rsidRPr="00265F31">
        <w:rPr>
          <w:rFonts w:hAnsi="ＭＳ 明朝" w:hint="eastAsia"/>
          <w:szCs w:val="24"/>
        </w:rPr>
        <w:t>及び新型コロナウイルス</w:t>
      </w:r>
      <w:r w:rsidR="00752BE6" w:rsidRPr="00265F31">
        <w:rPr>
          <w:rFonts w:hAnsi="ＭＳ 明朝" w:hint="eastAsia"/>
          <w:szCs w:val="24"/>
        </w:rPr>
        <w:t>感染症</w:t>
      </w:r>
      <w:r w:rsidR="00AC1BDA" w:rsidRPr="00265F31">
        <w:rPr>
          <w:rFonts w:hAnsi="ＭＳ 明朝" w:hint="eastAsia"/>
          <w:szCs w:val="24"/>
        </w:rPr>
        <w:t>の影響によ</w:t>
      </w:r>
      <w:r w:rsidR="004A360E">
        <w:rPr>
          <w:rFonts w:hAnsi="ＭＳ 明朝" w:hint="eastAsia"/>
          <w:szCs w:val="24"/>
        </w:rPr>
        <w:t>る申告・納付期限の延長</w:t>
      </w:r>
      <w:r w:rsidR="00752BE6" w:rsidRPr="00265F31">
        <w:rPr>
          <w:rFonts w:hAnsi="ＭＳ 明朝" w:hint="eastAsia"/>
          <w:szCs w:val="24"/>
        </w:rPr>
        <w:t>を行ったこと</w:t>
      </w:r>
      <w:r w:rsidR="00526F7E" w:rsidRPr="00265F31">
        <w:rPr>
          <w:rFonts w:hAnsi="ＭＳ 明朝" w:hint="eastAsia"/>
          <w:szCs w:val="24"/>
        </w:rPr>
        <w:t>によるものである。</w:t>
      </w:r>
    </w:p>
    <w:p w:rsidR="004E3054" w:rsidRPr="00265F31" w:rsidRDefault="00FF64E5" w:rsidP="004E3054">
      <w:pPr>
        <w:kinsoku w:val="0"/>
        <w:overflowPunct w:val="0"/>
        <w:snapToGrid w:val="0"/>
        <w:spacing w:line="240" w:lineRule="auto"/>
        <w:ind w:leftChars="300" w:left="720" w:firstLineChars="100" w:firstLine="240"/>
        <w:jc w:val="distribute"/>
        <w:rPr>
          <w:rFonts w:hAnsi="ＭＳ 明朝"/>
          <w:szCs w:val="24"/>
        </w:rPr>
      </w:pPr>
      <w:r w:rsidRPr="00265F31">
        <w:rPr>
          <w:rFonts w:hAnsi="ＭＳ 明朝" w:hint="eastAsia"/>
          <w:szCs w:val="24"/>
        </w:rPr>
        <w:t>固定資産税は</w:t>
      </w:r>
      <w:r w:rsidR="00532416" w:rsidRPr="00265F31">
        <w:rPr>
          <w:rFonts w:hAnsi="ＭＳ 明朝" w:hint="eastAsia"/>
          <w:szCs w:val="24"/>
        </w:rPr>
        <w:t>13,635,281</w:t>
      </w:r>
      <w:r w:rsidR="00986458" w:rsidRPr="00265F31">
        <w:rPr>
          <w:rFonts w:hAnsi="ＭＳ 明朝" w:hint="eastAsia"/>
          <w:szCs w:val="24"/>
        </w:rPr>
        <w:t>千円で</w:t>
      </w:r>
      <w:r w:rsidRPr="00265F31">
        <w:rPr>
          <w:rFonts w:hAnsi="ＭＳ 明朝" w:hint="eastAsia"/>
          <w:szCs w:val="24"/>
        </w:rPr>
        <w:t>、</w:t>
      </w:r>
      <w:r w:rsidR="00986458" w:rsidRPr="00265F31">
        <w:rPr>
          <w:rFonts w:hAnsi="ＭＳ 明朝" w:hint="eastAsia"/>
          <w:szCs w:val="24"/>
        </w:rPr>
        <w:t>前年度に比べ</w:t>
      </w:r>
      <w:r w:rsidR="00532416" w:rsidRPr="00265F31">
        <w:rPr>
          <w:rFonts w:hAnsi="ＭＳ 明朝" w:hint="eastAsia"/>
          <w:szCs w:val="24"/>
        </w:rPr>
        <w:t>139,867</w:t>
      </w:r>
      <w:r w:rsidR="00986458" w:rsidRPr="00265F31">
        <w:rPr>
          <w:rFonts w:hAnsi="ＭＳ 明朝" w:hint="eastAsia"/>
          <w:szCs w:val="24"/>
        </w:rPr>
        <w:t>千円</w:t>
      </w:r>
      <w:r w:rsidR="00A75E2E" w:rsidRPr="00265F31">
        <w:rPr>
          <w:rFonts w:hAnsi="ＭＳ 明朝" w:hint="eastAsia"/>
          <w:szCs w:val="24"/>
        </w:rPr>
        <w:t>(</w:t>
      </w:r>
      <w:r w:rsidR="00D01680" w:rsidRPr="00265F31">
        <w:rPr>
          <w:rFonts w:hAnsi="ＭＳ 明朝" w:hint="eastAsia"/>
          <w:szCs w:val="24"/>
        </w:rPr>
        <w:t>1</w:t>
      </w:r>
      <w:r w:rsidR="00045A5C" w:rsidRPr="00265F31">
        <w:rPr>
          <w:rFonts w:hAnsi="ＭＳ 明朝" w:hint="eastAsia"/>
          <w:szCs w:val="24"/>
        </w:rPr>
        <w:t>.</w:t>
      </w:r>
      <w:r w:rsidR="00532416" w:rsidRPr="00265F31">
        <w:rPr>
          <w:rFonts w:hAnsi="ＭＳ 明朝" w:hint="eastAsia"/>
          <w:szCs w:val="24"/>
        </w:rPr>
        <w:t>0</w:t>
      </w:r>
      <w:r w:rsidR="00A75E2E" w:rsidRPr="00265F31">
        <w:rPr>
          <w:rFonts w:hAnsi="ＭＳ 明朝" w:hint="eastAsia"/>
          <w:szCs w:val="24"/>
        </w:rPr>
        <w:t>％)</w:t>
      </w:r>
      <w:r w:rsidR="00D52612" w:rsidRPr="00265F31">
        <w:rPr>
          <w:rFonts w:hAnsi="ＭＳ 明朝" w:hint="eastAsia"/>
          <w:szCs w:val="24"/>
        </w:rPr>
        <w:t>増加</w:t>
      </w:r>
      <w:r w:rsidR="00986458" w:rsidRPr="00265F31">
        <w:rPr>
          <w:rFonts w:hAnsi="ＭＳ 明朝" w:hint="eastAsia"/>
          <w:szCs w:val="24"/>
        </w:rPr>
        <w:t>して</w:t>
      </w:r>
    </w:p>
    <w:p w:rsidR="000958A8" w:rsidRPr="00265F31" w:rsidRDefault="00986458" w:rsidP="006F4DCC">
      <w:pPr>
        <w:kinsoku w:val="0"/>
        <w:overflowPunct w:val="0"/>
        <w:snapToGrid w:val="0"/>
        <w:spacing w:line="240" w:lineRule="auto"/>
        <w:ind w:leftChars="300" w:left="720"/>
        <w:rPr>
          <w:rFonts w:hAnsi="ＭＳ 明朝"/>
          <w:szCs w:val="24"/>
        </w:rPr>
      </w:pPr>
      <w:r w:rsidRPr="00265F31">
        <w:rPr>
          <w:rFonts w:hAnsi="ＭＳ 明朝" w:hint="eastAsia"/>
          <w:szCs w:val="24"/>
        </w:rPr>
        <w:t>いる。これは主に</w:t>
      </w:r>
      <w:r w:rsidR="00D7043C" w:rsidRPr="00265F31">
        <w:rPr>
          <w:rFonts w:hAnsi="ＭＳ 明朝" w:hint="eastAsia"/>
          <w:szCs w:val="24"/>
        </w:rPr>
        <w:t>、</w:t>
      </w:r>
      <w:r w:rsidR="00956756" w:rsidRPr="00265F31">
        <w:rPr>
          <w:rFonts w:hAnsi="ＭＳ 明朝" w:hint="eastAsia"/>
          <w:snapToGrid w:val="0"/>
        </w:rPr>
        <w:t>新増築家屋及び設備投資に伴う償却資産の増加</w:t>
      </w:r>
      <w:r w:rsidR="00956756" w:rsidRPr="00265F31">
        <w:rPr>
          <w:rFonts w:hAnsi="ＭＳ 明朝" w:hint="eastAsia"/>
        </w:rPr>
        <w:t>によるもの</w:t>
      </w:r>
      <w:r w:rsidRPr="00265F31">
        <w:rPr>
          <w:rFonts w:hAnsi="ＭＳ 明朝" w:hint="eastAsia"/>
          <w:szCs w:val="24"/>
        </w:rPr>
        <w:t>である。</w:t>
      </w:r>
    </w:p>
    <w:p w:rsidR="00045A5C" w:rsidRPr="00265F31" w:rsidRDefault="00DB0DA3" w:rsidP="008436B4">
      <w:pPr>
        <w:kinsoku w:val="0"/>
        <w:overflowPunct w:val="0"/>
        <w:snapToGrid w:val="0"/>
        <w:spacing w:line="240" w:lineRule="auto"/>
        <w:ind w:leftChars="300" w:left="720" w:firstLineChars="100" w:firstLine="240"/>
        <w:rPr>
          <w:rFonts w:hAnsi="ＭＳ 明朝"/>
          <w:szCs w:val="24"/>
        </w:rPr>
      </w:pPr>
      <w:r w:rsidRPr="00265F31">
        <w:rPr>
          <w:rFonts w:hAnsi="ＭＳ 明朝" w:hint="eastAsia"/>
          <w:szCs w:val="24"/>
        </w:rPr>
        <w:t>軽自動車税は</w:t>
      </w:r>
      <w:r w:rsidR="00532416" w:rsidRPr="00265F31">
        <w:rPr>
          <w:rFonts w:hAnsi="ＭＳ 明朝" w:hint="eastAsia"/>
          <w:szCs w:val="24"/>
        </w:rPr>
        <w:t>515,800</w:t>
      </w:r>
      <w:r w:rsidR="00986458" w:rsidRPr="00265F31">
        <w:rPr>
          <w:rFonts w:hAnsi="ＭＳ 明朝" w:hint="eastAsia"/>
          <w:szCs w:val="24"/>
        </w:rPr>
        <w:t>千円で</w:t>
      </w:r>
      <w:r w:rsidR="00FF64E5" w:rsidRPr="00265F31">
        <w:rPr>
          <w:rFonts w:hAnsi="ＭＳ 明朝" w:hint="eastAsia"/>
          <w:szCs w:val="24"/>
        </w:rPr>
        <w:t>、</w:t>
      </w:r>
      <w:r w:rsidR="00DE4E14" w:rsidRPr="00265F31">
        <w:rPr>
          <w:rFonts w:hAnsi="ＭＳ 明朝" w:hint="eastAsia"/>
          <w:szCs w:val="24"/>
        </w:rPr>
        <w:t>前年度に比べ</w:t>
      </w:r>
      <w:r w:rsidR="00532416" w:rsidRPr="00265F31">
        <w:rPr>
          <w:rFonts w:hAnsi="ＭＳ 明朝" w:hint="eastAsia"/>
          <w:szCs w:val="24"/>
        </w:rPr>
        <w:t>26,093</w:t>
      </w:r>
      <w:r w:rsidR="00DE4E14" w:rsidRPr="00265F31">
        <w:rPr>
          <w:rFonts w:hAnsi="ＭＳ 明朝" w:hint="eastAsia"/>
          <w:szCs w:val="24"/>
        </w:rPr>
        <w:t>千円</w:t>
      </w:r>
      <w:r w:rsidR="00A75E2E" w:rsidRPr="00265F31">
        <w:rPr>
          <w:rFonts w:hAnsi="ＭＳ 明朝" w:hint="eastAsia"/>
          <w:szCs w:val="24"/>
        </w:rPr>
        <w:t>（</w:t>
      </w:r>
      <w:r w:rsidR="00532416" w:rsidRPr="00265F31">
        <w:rPr>
          <w:rFonts w:hAnsi="ＭＳ 明朝" w:hint="eastAsia"/>
          <w:szCs w:val="24"/>
        </w:rPr>
        <w:t>5.3</w:t>
      </w:r>
      <w:r w:rsidR="00DE4E14" w:rsidRPr="00265F31">
        <w:rPr>
          <w:rFonts w:hAnsi="ＭＳ 明朝" w:hint="eastAsia"/>
          <w:szCs w:val="24"/>
        </w:rPr>
        <w:t>％</w:t>
      </w:r>
      <w:r w:rsidR="00A75E2E" w:rsidRPr="00265F31">
        <w:rPr>
          <w:rFonts w:hAnsi="ＭＳ 明朝" w:hint="eastAsia"/>
          <w:szCs w:val="24"/>
        </w:rPr>
        <w:t>）</w:t>
      </w:r>
      <w:r w:rsidR="00DE4E14" w:rsidRPr="00265F31">
        <w:rPr>
          <w:rFonts w:hAnsi="ＭＳ 明朝" w:hint="eastAsia"/>
          <w:szCs w:val="24"/>
        </w:rPr>
        <w:t>増加している。</w:t>
      </w:r>
    </w:p>
    <w:p w:rsidR="00D310CA" w:rsidRPr="00265F31" w:rsidRDefault="00DE4E14" w:rsidP="007D16EE">
      <w:pPr>
        <w:kinsoku w:val="0"/>
        <w:overflowPunct w:val="0"/>
        <w:snapToGrid w:val="0"/>
        <w:spacing w:line="240" w:lineRule="auto"/>
        <w:ind w:leftChars="300" w:left="720"/>
        <w:rPr>
          <w:rFonts w:hAnsi="ＭＳ 明朝"/>
          <w:szCs w:val="24"/>
        </w:rPr>
      </w:pPr>
      <w:r w:rsidRPr="00265F31">
        <w:rPr>
          <w:rFonts w:hAnsi="ＭＳ 明朝" w:hint="eastAsia"/>
          <w:szCs w:val="24"/>
        </w:rPr>
        <w:t>これは</w:t>
      </w:r>
      <w:r w:rsidR="00532416" w:rsidRPr="00265F31">
        <w:rPr>
          <w:rFonts w:hAnsi="ＭＳ 明朝" w:hint="eastAsia"/>
          <w:szCs w:val="24"/>
        </w:rPr>
        <w:t>主に</w:t>
      </w:r>
      <w:r w:rsidRPr="00265F31">
        <w:rPr>
          <w:rFonts w:hAnsi="ＭＳ 明朝" w:hint="eastAsia"/>
          <w:szCs w:val="24"/>
        </w:rPr>
        <w:t>、</w:t>
      </w:r>
      <w:r w:rsidR="00CD4768" w:rsidRPr="00265F31">
        <w:rPr>
          <w:rFonts w:hAnsi="ＭＳ 明朝" w:hint="eastAsia"/>
          <w:szCs w:val="24"/>
        </w:rPr>
        <w:t>重課</w:t>
      </w:r>
      <w:r w:rsidR="007E6D8A" w:rsidRPr="00265F31">
        <w:rPr>
          <w:rFonts w:hAnsi="ＭＳ 明朝" w:hint="eastAsia"/>
          <w:szCs w:val="24"/>
        </w:rPr>
        <w:t>対象車両</w:t>
      </w:r>
      <w:r w:rsidR="00CD4768" w:rsidRPr="00265F31">
        <w:rPr>
          <w:rFonts w:hAnsi="ＭＳ 明朝" w:hint="eastAsia"/>
          <w:szCs w:val="24"/>
        </w:rPr>
        <w:t>の増加</w:t>
      </w:r>
      <w:r w:rsidR="007E6D8A" w:rsidRPr="00265F31">
        <w:rPr>
          <w:rFonts w:hAnsi="ＭＳ 明朝" w:hint="eastAsia"/>
          <w:szCs w:val="24"/>
        </w:rPr>
        <w:t>及び</w:t>
      </w:r>
      <w:r w:rsidR="005A6BED" w:rsidRPr="00265F31">
        <w:rPr>
          <w:rFonts w:hAnsi="ＭＳ 明朝" w:hint="eastAsia"/>
          <w:szCs w:val="24"/>
        </w:rPr>
        <w:t>乗り換えによる新税率適用車</w:t>
      </w:r>
      <w:r w:rsidR="00CD4768" w:rsidRPr="00265F31">
        <w:rPr>
          <w:rFonts w:hAnsi="ＭＳ 明朝" w:hint="eastAsia"/>
          <w:szCs w:val="24"/>
        </w:rPr>
        <w:t>の増加</w:t>
      </w:r>
      <w:r w:rsidR="00E60852" w:rsidRPr="00265F31">
        <w:rPr>
          <w:rFonts w:hAnsi="ＭＳ 明朝" w:hint="eastAsia"/>
          <w:szCs w:val="24"/>
        </w:rPr>
        <w:t>によるものである。</w:t>
      </w:r>
    </w:p>
    <w:p w:rsidR="000F330D" w:rsidRPr="00265F31" w:rsidRDefault="00487836" w:rsidP="00532416">
      <w:pPr>
        <w:kinsoku w:val="0"/>
        <w:overflowPunct w:val="0"/>
        <w:snapToGrid w:val="0"/>
        <w:spacing w:line="240" w:lineRule="auto"/>
        <w:ind w:leftChars="300" w:left="720" w:firstLineChars="100" w:firstLine="236"/>
        <w:rPr>
          <w:rFonts w:hAnsi="ＭＳ 明朝"/>
          <w:szCs w:val="24"/>
        </w:rPr>
      </w:pPr>
      <w:r w:rsidRPr="004A360E">
        <w:rPr>
          <w:rFonts w:hAnsi="ＭＳ 明朝" w:hint="eastAsia"/>
          <w:spacing w:val="1"/>
          <w:w w:val="98"/>
          <w:szCs w:val="24"/>
          <w:fitText w:val="8738" w:id="-1746677246"/>
        </w:rPr>
        <w:t>市たばこ税は</w:t>
      </w:r>
      <w:r w:rsidR="00532416" w:rsidRPr="004A360E">
        <w:rPr>
          <w:rFonts w:hAnsi="ＭＳ 明朝" w:hint="eastAsia"/>
          <w:spacing w:val="1"/>
          <w:w w:val="98"/>
          <w:szCs w:val="24"/>
          <w:fitText w:val="8738" w:id="-1746677246"/>
        </w:rPr>
        <w:t>1,122,731</w:t>
      </w:r>
      <w:r w:rsidR="0003487F" w:rsidRPr="004A360E">
        <w:rPr>
          <w:rFonts w:hAnsi="ＭＳ 明朝" w:hint="eastAsia"/>
          <w:spacing w:val="1"/>
          <w:w w:val="98"/>
          <w:szCs w:val="24"/>
          <w:fitText w:val="8738" w:id="-1746677246"/>
        </w:rPr>
        <w:t>千円で</w:t>
      </w:r>
      <w:r w:rsidR="00FF64E5" w:rsidRPr="004A360E">
        <w:rPr>
          <w:rFonts w:hAnsi="ＭＳ 明朝" w:hint="eastAsia"/>
          <w:spacing w:val="1"/>
          <w:w w:val="98"/>
          <w:szCs w:val="24"/>
          <w:fitText w:val="8738" w:id="-1746677246"/>
        </w:rPr>
        <w:t>、</w:t>
      </w:r>
      <w:r w:rsidR="00F04AE3" w:rsidRPr="004A360E">
        <w:rPr>
          <w:rFonts w:hAnsi="ＭＳ 明朝" w:hint="eastAsia"/>
          <w:spacing w:val="1"/>
          <w:w w:val="98"/>
          <w:szCs w:val="24"/>
          <w:fitText w:val="8738" w:id="-1746677246"/>
        </w:rPr>
        <w:t>前年度に比べ</w:t>
      </w:r>
      <w:r w:rsidR="00532416" w:rsidRPr="004A360E">
        <w:rPr>
          <w:rFonts w:hAnsi="ＭＳ 明朝" w:hint="eastAsia"/>
          <w:spacing w:val="1"/>
          <w:w w:val="98"/>
          <w:szCs w:val="24"/>
          <w:fitText w:val="8738" w:id="-1746677246"/>
        </w:rPr>
        <w:t>70,433</w:t>
      </w:r>
      <w:r w:rsidR="00F04AE3" w:rsidRPr="004A360E">
        <w:rPr>
          <w:rFonts w:hAnsi="ＭＳ 明朝" w:hint="eastAsia"/>
          <w:spacing w:val="1"/>
          <w:w w:val="98"/>
          <w:szCs w:val="24"/>
          <w:fitText w:val="8738" w:id="-1746677246"/>
        </w:rPr>
        <w:t>千円(</w:t>
      </w:r>
      <w:r w:rsidR="00532416" w:rsidRPr="004A360E">
        <w:rPr>
          <w:rFonts w:hAnsi="ＭＳ 明朝" w:hint="eastAsia"/>
          <w:spacing w:val="1"/>
          <w:w w:val="98"/>
          <w:szCs w:val="24"/>
          <w:fitText w:val="8738" w:id="-1746677246"/>
        </w:rPr>
        <w:t>△5.9</w:t>
      </w:r>
      <w:r w:rsidR="00F04AE3" w:rsidRPr="004A360E">
        <w:rPr>
          <w:rFonts w:hAnsi="ＭＳ 明朝" w:hint="eastAsia"/>
          <w:spacing w:val="1"/>
          <w:w w:val="98"/>
          <w:szCs w:val="24"/>
          <w:fitText w:val="8738" w:id="-1746677246"/>
        </w:rPr>
        <w:t>％)</w:t>
      </w:r>
      <w:r w:rsidR="00532416" w:rsidRPr="004A360E">
        <w:rPr>
          <w:rFonts w:hAnsi="ＭＳ 明朝" w:hint="eastAsia"/>
          <w:spacing w:val="1"/>
          <w:w w:val="98"/>
          <w:szCs w:val="24"/>
          <w:fitText w:val="8738" w:id="-1746677246"/>
        </w:rPr>
        <w:t>減少している</w:t>
      </w:r>
      <w:r w:rsidR="00532416" w:rsidRPr="004A360E">
        <w:rPr>
          <w:rFonts w:hAnsi="ＭＳ 明朝" w:hint="eastAsia"/>
          <w:spacing w:val="-2"/>
          <w:w w:val="98"/>
          <w:szCs w:val="24"/>
          <w:fitText w:val="8738" w:id="-1746677246"/>
        </w:rPr>
        <w:t>。</w:t>
      </w:r>
      <w:r w:rsidR="00532416" w:rsidRPr="00265F31">
        <w:rPr>
          <w:rFonts w:hAnsi="ＭＳ 明朝" w:hint="eastAsia"/>
          <w:szCs w:val="24"/>
        </w:rPr>
        <w:t>こ</w:t>
      </w:r>
      <w:r w:rsidR="00F04AE3" w:rsidRPr="00265F31">
        <w:rPr>
          <w:rFonts w:hAnsi="ＭＳ 明朝" w:hint="eastAsia"/>
          <w:szCs w:val="24"/>
        </w:rPr>
        <w:t>れは、</w:t>
      </w:r>
      <w:r w:rsidR="009A3B98" w:rsidRPr="00265F31">
        <w:rPr>
          <w:rFonts w:hAnsi="ＭＳ 明朝" w:hint="eastAsia"/>
          <w:szCs w:val="24"/>
        </w:rPr>
        <w:t>売り渡し本数が減少したこと</w:t>
      </w:r>
      <w:r w:rsidR="00F04AE3" w:rsidRPr="00265F31">
        <w:rPr>
          <w:rFonts w:hAnsi="ＭＳ 明朝" w:hint="eastAsia"/>
          <w:szCs w:val="24"/>
        </w:rPr>
        <w:t>によるものである。</w:t>
      </w:r>
    </w:p>
    <w:p w:rsidR="004E3054" w:rsidRPr="00265F31" w:rsidRDefault="00986458" w:rsidP="004E3054">
      <w:pPr>
        <w:kinsoku w:val="0"/>
        <w:overflowPunct w:val="0"/>
        <w:snapToGrid w:val="0"/>
        <w:spacing w:line="240" w:lineRule="auto"/>
        <w:ind w:leftChars="300" w:left="720" w:firstLineChars="100" w:firstLine="240"/>
        <w:jc w:val="distribute"/>
        <w:rPr>
          <w:rFonts w:hAnsi="ＭＳ 明朝"/>
          <w:szCs w:val="24"/>
        </w:rPr>
      </w:pPr>
      <w:r w:rsidRPr="00265F31">
        <w:rPr>
          <w:rFonts w:hAnsi="ＭＳ 明朝" w:hint="eastAsia"/>
          <w:szCs w:val="24"/>
        </w:rPr>
        <w:t>収入未済額は</w:t>
      </w:r>
      <w:r w:rsidR="007F5DA1" w:rsidRPr="00265F31">
        <w:rPr>
          <w:rFonts w:hAnsi="ＭＳ 明朝" w:hint="eastAsia"/>
          <w:szCs w:val="24"/>
        </w:rPr>
        <w:t>1,167,477</w:t>
      </w:r>
      <w:r w:rsidRPr="00265F31">
        <w:rPr>
          <w:rFonts w:hAnsi="ＭＳ 明朝" w:hint="eastAsia"/>
          <w:szCs w:val="24"/>
        </w:rPr>
        <w:t>千円で</w:t>
      </w:r>
      <w:r w:rsidR="00FF64E5" w:rsidRPr="00265F31">
        <w:rPr>
          <w:rFonts w:hAnsi="ＭＳ 明朝" w:hint="eastAsia"/>
          <w:szCs w:val="24"/>
        </w:rPr>
        <w:t>、</w:t>
      </w:r>
      <w:r w:rsidRPr="00265F31">
        <w:rPr>
          <w:rFonts w:hAnsi="ＭＳ 明朝" w:hint="eastAsia"/>
          <w:szCs w:val="24"/>
        </w:rPr>
        <w:t>前年度に比べ</w:t>
      </w:r>
      <w:r w:rsidR="007F5DA1" w:rsidRPr="00265F31">
        <w:rPr>
          <w:rFonts w:hAnsi="ＭＳ 明朝" w:hint="eastAsia"/>
          <w:szCs w:val="24"/>
        </w:rPr>
        <w:t>46,516</w:t>
      </w:r>
      <w:r w:rsidR="004E3054" w:rsidRPr="00265F31">
        <w:rPr>
          <w:rFonts w:hAnsi="ＭＳ 明朝" w:hint="eastAsia"/>
          <w:szCs w:val="24"/>
        </w:rPr>
        <w:t>千円(</w:t>
      </w:r>
      <w:r w:rsidR="007F5DA1" w:rsidRPr="00265F31">
        <w:rPr>
          <w:rFonts w:hAnsi="ＭＳ 明朝" w:hint="eastAsia"/>
          <w:szCs w:val="24"/>
        </w:rPr>
        <w:t>4.1</w:t>
      </w:r>
      <w:r w:rsidR="004E3054" w:rsidRPr="00265F31">
        <w:rPr>
          <w:rFonts w:hAnsi="ＭＳ 明朝" w:hint="eastAsia"/>
          <w:szCs w:val="24"/>
        </w:rPr>
        <w:t>％</w:t>
      </w:r>
      <w:r w:rsidR="004E3054" w:rsidRPr="00265F31">
        <w:rPr>
          <w:rFonts w:hAnsi="ＭＳ 明朝"/>
          <w:szCs w:val="24"/>
        </w:rPr>
        <w:t>）</w:t>
      </w:r>
      <w:r w:rsidR="007F5DA1" w:rsidRPr="00265F31">
        <w:rPr>
          <w:rFonts w:hAnsi="ＭＳ 明朝" w:hint="eastAsia"/>
          <w:szCs w:val="24"/>
        </w:rPr>
        <w:t>増加</w:t>
      </w:r>
      <w:r w:rsidRPr="00265F31">
        <w:rPr>
          <w:rFonts w:hAnsi="ＭＳ 明朝" w:hint="eastAsia"/>
          <w:szCs w:val="24"/>
        </w:rPr>
        <w:t>して</w:t>
      </w:r>
    </w:p>
    <w:p w:rsidR="00EE2884" w:rsidRPr="00265F31" w:rsidRDefault="00986458" w:rsidP="00EE2884">
      <w:pPr>
        <w:kinsoku w:val="0"/>
        <w:overflowPunct w:val="0"/>
        <w:snapToGrid w:val="0"/>
        <w:spacing w:line="240" w:lineRule="auto"/>
        <w:ind w:leftChars="300" w:left="720"/>
        <w:rPr>
          <w:rFonts w:hAnsi="ＭＳ 明朝"/>
          <w:szCs w:val="24"/>
        </w:rPr>
      </w:pPr>
      <w:r w:rsidRPr="00265F31">
        <w:rPr>
          <w:rFonts w:hAnsi="ＭＳ 明朝" w:hint="eastAsia"/>
          <w:szCs w:val="24"/>
        </w:rPr>
        <w:t>いる。このうち</w:t>
      </w:r>
      <w:r w:rsidR="00A2549B" w:rsidRPr="00265F31">
        <w:rPr>
          <w:rFonts w:hAnsi="ＭＳ 明朝" w:hint="eastAsia"/>
          <w:szCs w:val="24"/>
        </w:rPr>
        <w:t>、</w:t>
      </w:r>
      <w:r w:rsidRPr="00265F31">
        <w:rPr>
          <w:rFonts w:hAnsi="ＭＳ 明朝" w:hint="eastAsia"/>
          <w:szCs w:val="24"/>
        </w:rPr>
        <w:t>現年課税分は</w:t>
      </w:r>
      <w:r w:rsidR="002953B6" w:rsidRPr="00265F31">
        <w:rPr>
          <w:rFonts w:hAnsi="ＭＳ 明朝" w:hint="eastAsia"/>
          <w:szCs w:val="24"/>
        </w:rPr>
        <w:t>350,619</w:t>
      </w:r>
      <w:r w:rsidRPr="00265F31">
        <w:rPr>
          <w:rFonts w:hAnsi="ＭＳ 明朝" w:hint="eastAsia"/>
          <w:szCs w:val="24"/>
        </w:rPr>
        <w:t>千円で</w:t>
      </w:r>
      <w:r w:rsidR="004E3054" w:rsidRPr="00265F31">
        <w:rPr>
          <w:rFonts w:hAnsi="ＭＳ 明朝" w:hint="eastAsia"/>
          <w:szCs w:val="24"/>
        </w:rPr>
        <w:t>、</w:t>
      </w:r>
      <w:r w:rsidRPr="00265F31">
        <w:rPr>
          <w:rFonts w:hAnsi="ＭＳ 明朝" w:hint="eastAsia"/>
          <w:szCs w:val="24"/>
        </w:rPr>
        <w:t>前年度に比べ</w:t>
      </w:r>
      <w:r w:rsidR="00EE2884" w:rsidRPr="00265F31">
        <w:rPr>
          <w:rFonts w:hAnsi="ＭＳ 明朝" w:hint="eastAsia"/>
          <w:szCs w:val="24"/>
        </w:rPr>
        <w:t>88,039</w:t>
      </w:r>
      <w:r w:rsidRPr="00265F31">
        <w:rPr>
          <w:rFonts w:hAnsi="ＭＳ 明朝" w:hint="eastAsia"/>
          <w:szCs w:val="24"/>
        </w:rPr>
        <w:t>千円(</w:t>
      </w:r>
      <w:r w:rsidR="00EE2884" w:rsidRPr="00265F31">
        <w:rPr>
          <w:rFonts w:hAnsi="ＭＳ 明朝" w:hint="eastAsia"/>
          <w:szCs w:val="24"/>
        </w:rPr>
        <w:t>33.5</w:t>
      </w:r>
      <w:r w:rsidRPr="00265F31">
        <w:rPr>
          <w:rFonts w:hAnsi="ＭＳ 明朝" w:hint="eastAsia"/>
          <w:szCs w:val="24"/>
        </w:rPr>
        <w:t>％</w:t>
      </w:r>
      <w:r w:rsidR="007A68E7" w:rsidRPr="00265F31">
        <w:rPr>
          <w:rFonts w:hAnsi="ＭＳ 明朝" w:hint="eastAsia"/>
          <w:szCs w:val="24"/>
        </w:rPr>
        <w:t>)</w:t>
      </w:r>
    </w:p>
    <w:p w:rsidR="00EE2884" w:rsidRPr="00265F31" w:rsidRDefault="00EE2884" w:rsidP="00EE2884">
      <w:pPr>
        <w:kinsoku w:val="0"/>
        <w:overflowPunct w:val="0"/>
        <w:snapToGrid w:val="0"/>
        <w:spacing w:line="240" w:lineRule="auto"/>
        <w:ind w:firstLineChars="300" w:firstLine="720"/>
        <w:rPr>
          <w:rFonts w:hAnsi="ＭＳ 明朝"/>
          <w:szCs w:val="24"/>
        </w:rPr>
      </w:pPr>
      <w:r w:rsidRPr="00265F31">
        <w:rPr>
          <w:rFonts w:hAnsi="ＭＳ 明朝" w:hint="eastAsia"/>
          <w:szCs w:val="24"/>
        </w:rPr>
        <w:t>増加し、</w:t>
      </w:r>
      <w:r w:rsidR="00986458" w:rsidRPr="00265F31">
        <w:rPr>
          <w:rFonts w:hAnsi="ＭＳ 明朝" w:hint="eastAsia"/>
          <w:szCs w:val="24"/>
        </w:rPr>
        <w:t>滞納繰越分は</w:t>
      </w:r>
      <w:r w:rsidRPr="00265F31">
        <w:rPr>
          <w:rFonts w:hAnsi="ＭＳ 明朝" w:hint="eastAsia"/>
          <w:szCs w:val="24"/>
        </w:rPr>
        <w:t>816,858</w:t>
      </w:r>
      <w:r w:rsidR="00986458" w:rsidRPr="00265F31">
        <w:rPr>
          <w:rFonts w:hAnsi="ＭＳ 明朝" w:hint="eastAsia"/>
          <w:szCs w:val="24"/>
        </w:rPr>
        <w:t>千円で</w:t>
      </w:r>
      <w:r w:rsidR="00AB61C0" w:rsidRPr="00265F31">
        <w:rPr>
          <w:rFonts w:hAnsi="ＭＳ 明朝" w:hint="eastAsia"/>
          <w:szCs w:val="24"/>
        </w:rPr>
        <w:t>、</w:t>
      </w:r>
      <w:r w:rsidR="00986458" w:rsidRPr="00265F31">
        <w:rPr>
          <w:rFonts w:hAnsi="ＭＳ 明朝" w:hint="eastAsia"/>
          <w:szCs w:val="24"/>
        </w:rPr>
        <w:t>前年度に比べ</w:t>
      </w:r>
      <w:r w:rsidRPr="00265F31">
        <w:rPr>
          <w:rFonts w:hAnsi="ＭＳ 明朝" w:hint="eastAsia"/>
          <w:szCs w:val="24"/>
        </w:rPr>
        <w:t>41,523</w:t>
      </w:r>
      <w:r w:rsidR="00986458" w:rsidRPr="00265F31">
        <w:rPr>
          <w:rFonts w:hAnsi="ＭＳ 明朝" w:hint="eastAsia"/>
          <w:szCs w:val="24"/>
        </w:rPr>
        <w:t>千円（</w:t>
      </w:r>
      <w:r w:rsidR="00E040C5" w:rsidRPr="00265F31">
        <w:rPr>
          <w:rFonts w:hAnsi="ＭＳ 明朝" w:hint="eastAsia"/>
          <w:szCs w:val="24"/>
        </w:rPr>
        <w:t>△</w:t>
      </w:r>
      <w:r w:rsidRPr="00265F31">
        <w:rPr>
          <w:rFonts w:hAnsi="ＭＳ 明朝" w:hint="eastAsia"/>
          <w:szCs w:val="24"/>
        </w:rPr>
        <w:t>4.8</w:t>
      </w:r>
      <w:r w:rsidR="00986458" w:rsidRPr="00265F31">
        <w:rPr>
          <w:rFonts w:hAnsi="ＭＳ 明朝" w:hint="eastAsia"/>
          <w:szCs w:val="24"/>
        </w:rPr>
        <w:t>％）減少し</w:t>
      </w:r>
    </w:p>
    <w:p w:rsidR="004964F0" w:rsidRPr="00265F31" w:rsidRDefault="00986458" w:rsidP="00EE2884">
      <w:pPr>
        <w:kinsoku w:val="0"/>
        <w:overflowPunct w:val="0"/>
        <w:snapToGrid w:val="0"/>
        <w:spacing w:line="240" w:lineRule="auto"/>
        <w:ind w:firstLineChars="300" w:firstLine="720"/>
        <w:rPr>
          <w:rFonts w:hAnsi="ＭＳ 明朝"/>
          <w:szCs w:val="24"/>
        </w:rPr>
      </w:pPr>
      <w:r w:rsidRPr="00265F31">
        <w:rPr>
          <w:rFonts w:hAnsi="ＭＳ 明朝" w:hint="eastAsia"/>
          <w:szCs w:val="24"/>
        </w:rPr>
        <w:t>ている。これを税別でみると前年度に比べ市民税で</w:t>
      </w:r>
      <w:r w:rsidR="00EE2884" w:rsidRPr="00265F31">
        <w:rPr>
          <w:rFonts w:hAnsi="ＭＳ 明朝" w:hint="eastAsia"/>
          <w:szCs w:val="24"/>
        </w:rPr>
        <w:t>12,874</w:t>
      </w:r>
      <w:r w:rsidR="009F2D60" w:rsidRPr="00265F31">
        <w:rPr>
          <w:rFonts w:hAnsi="ＭＳ 明朝" w:hint="eastAsia"/>
          <w:szCs w:val="24"/>
        </w:rPr>
        <w:t>千円(</w:t>
      </w:r>
      <w:r w:rsidRPr="00265F31">
        <w:rPr>
          <w:rFonts w:hAnsi="ＭＳ 明朝" w:hint="eastAsia"/>
          <w:szCs w:val="24"/>
        </w:rPr>
        <w:t>△</w:t>
      </w:r>
      <w:r w:rsidR="00CF6811" w:rsidRPr="00265F31">
        <w:rPr>
          <w:rFonts w:hAnsi="ＭＳ 明朝" w:hint="eastAsia"/>
          <w:szCs w:val="24"/>
        </w:rPr>
        <w:t>2.9</w:t>
      </w:r>
      <w:r w:rsidR="009F2D60" w:rsidRPr="00265F31">
        <w:rPr>
          <w:rFonts w:hAnsi="ＭＳ 明朝" w:hint="eastAsia"/>
          <w:szCs w:val="24"/>
        </w:rPr>
        <w:t>％)</w:t>
      </w:r>
      <w:r w:rsidR="00EE2884" w:rsidRPr="00265F31">
        <w:rPr>
          <w:rFonts w:hAnsi="ＭＳ 明朝" w:hint="eastAsia"/>
          <w:szCs w:val="24"/>
        </w:rPr>
        <w:t>減少</w:t>
      </w:r>
      <w:r w:rsidR="004964F0" w:rsidRPr="00265F31">
        <w:rPr>
          <w:rFonts w:hAnsi="ＭＳ 明朝" w:hint="eastAsia"/>
          <w:szCs w:val="24"/>
        </w:rPr>
        <w:t>し</w:t>
      </w:r>
      <w:r w:rsidRPr="00265F31">
        <w:rPr>
          <w:rFonts w:hAnsi="ＭＳ 明朝" w:hint="eastAsia"/>
          <w:szCs w:val="24"/>
        </w:rPr>
        <w:t>、</w:t>
      </w:r>
      <w:r w:rsidR="001454BF" w:rsidRPr="00265F31">
        <w:rPr>
          <w:rFonts w:hAnsi="ＭＳ 明朝" w:hint="eastAsia"/>
          <w:szCs w:val="24"/>
        </w:rPr>
        <w:t>固</w:t>
      </w:r>
    </w:p>
    <w:p w:rsidR="004964F0" w:rsidRPr="00265F31" w:rsidRDefault="001454BF" w:rsidP="004964F0">
      <w:pPr>
        <w:kinsoku w:val="0"/>
        <w:overflowPunct w:val="0"/>
        <w:snapToGrid w:val="0"/>
        <w:spacing w:line="240" w:lineRule="auto"/>
        <w:ind w:firstLineChars="300" w:firstLine="720"/>
        <w:rPr>
          <w:rFonts w:hAnsi="ＭＳ 明朝"/>
          <w:szCs w:val="24"/>
        </w:rPr>
      </w:pPr>
      <w:r w:rsidRPr="00265F31">
        <w:rPr>
          <w:rFonts w:hAnsi="ＭＳ 明朝" w:hint="eastAsia"/>
          <w:szCs w:val="24"/>
        </w:rPr>
        <w:t>定資産</w:t>
      </w:r>
      <w:r w:rsidR="00986458" w:rsidRPr="00265F31">
        <w:rPr>
          <w:rFonts w:hAnsi="ＭＳ 明朝" w:hint="eastAsia"/>
          <w:szCs w:val="24"/>
        </w:rPr>
        <w:t>税で</w:t>
      </w:r>
      <w:r w:rsidR="004964F0" w:rsidRPr="00265F31">
        <w:rPr>
          <w:rFonts w:hAnsi="ＭＳ 明朝" w:hint="eastAsia"/>
          <w:szCs w:val="24"/>
        </w:rPr>
        <w:t>59,008</w:t>
      </w:r>
      <w:r w:rsidR="009F2D60" w:rsidRPr="00265F31">
        <w:rPr>
          <w:rFonts w:hAnsi="ＭＳ 明朝" w:hint="eastAsia"/>
          <w:szCs w:val="24"/>
        </w:rPr>
        <w:t>千円(</w:t>
      </w:r>
      <w:r w:rsidR="004964F0" w:rsidRPr="00265F31">
        <w:rPr>
          <w:rFonts w:hAnsi="ＭＳ 明朝" w:hint="eastAsia"/>
          <w:szCs w:val="24"/>
        </w:rPr>
        <w:t>9.1</w:t>
      </w:r>
      <w:r w:rsidR="009F2D60" w:rsidRPr="00265F31">
        <w:rPr>
          <w:rFonts w:hAnsi="ＭＳ 明朝" w:hint="eastAsia"/>
          <w:szCs w:val="24"/>
        </w:rPr>
        <w:t>％)</w:t>
      </w:r>
      <w:r w:rsidR="00FA68B6" w:rsidRPr="00265F31">
        <w:rPr>
          <w:rFonts w:hAnsi="ＭＳ 明朝" w:hint="eastAsia"/>
          <w:szCs w:val="24"/>
        </w:rPr>
        <w:t>、</w:t>
      </w:r>
      <w:r w:rsidR="002E0E10" w:rsidRPr="00265F31">
        <w:rPr>
          <w:rFonts w:hAnsi="ＭＳ 明朝" w:hint="eastAsia"/>
          <w:szCs w:val="24"/>
        </w:rPr>
        <w:t xml:space="preserve"> 軽自動車税で</w:t>
      </w:r>
      <w:r w:rsidR="004964F0" w:rsidRPr="00265F31">
        <w:rPr>
          <w:rFonts w:hAnsi="ＭＳ 明朝" w:hint="eastAsia"/>
          <w:szCs w:val="24"/>
        </w:rPr>
        <w:t>382</w:t>
      </w:r>
      <w:r w:rsidR="002E0E10" w:rsidRPr="00265F31">
        <w:rPr>
          <w:rFonts w:hAnsi="ＭＳ 明朝" w:hint="eastAsia"/>
          <w:szCs w:val="24"/>
        </w:rPr>
        <w:t>千円(</w:t>
      </w:r>
      <w:r w:rsidR="004964F0" w:rsidRPr="00265F31">
        <w:rPr>
          <w:rFonts w:hAnsi="ＭＳ 明朝" w:hint="eastAsia"/>
          <w:szCs w:val="24"/>
        </w:rPr>
        <w:t>1.4</w:t>
      </w:r>
      <w:r w:rsidR="002E0E10" w:rsidRPr="00265F31">
        <w:rPr>
          <w:rFonts w:hAnsi="ＭＳ 明朝" w:hint="eastAsia"/>
          <w:szCs w:val="24"/>
        </w:rPr>
        <w:t>％)</w:t>
      </w:r>
      <w:r w:rsidR="004964F0" w:rsidRPr="00265F31">
        <w:rPr>
          <w:rFonts w:hAnsi="ＭＳ 明朝" w:hint="eastAsia"/>
          <w:szCs w:val="24"/>
        </w:rPr>
        <w:t>それぞれ増加</w:t>
      </w:r>
      <w:r w:rsidR="00986458" w:rsidRPr="00265F31">
        <w:rPr>
          <w:rFonts w:hAnsi="ＭＳ 明朝" w:hint="eastAsia"/>
          <w:szCs w:val="24"/>
        </w:rPr>
        <w:t>してい</w:t>
      </w:r>
    </w:p>
    <w:p w:rsidR="00986458" w:rsidRPr="00265F31" w:rsidRDefault="00986458" w:rsidP="00A240FC">
      <w:pPr>
        <w:tabs>
          <w:tab w:val="left" w:pos="2640"/>
        </w:tabs>
        <w:kinsoku w:val="0"/>
        <w:overflowPunct w:val="0"/>
        <w:snapToGrid w:val="0"/>
        <w:spacing w:line="240" w:lineRule="auto"/>
        <w:ind w:firstLineChars="300" w:firstLine="720"/>
        <w:rPr>
          <w:rFonts w:hAnsi="ＭＳ 明朝"/>
          <w:szCs w:val="24"/>
        </w:rPr>
      </w:pPr>
      <w:r w:rsidRPr="00265F31">
        <w:rPr>
          <w:rFonts w:hAnsi="ＭＳ 明朝" w:hint="eastAsia"/>
          <w:szCs w:val="24"/>
        </w:rPr>
        <w:t>る。</w:t>
      </w:r>
      <w:r w:rsidR="00A240FC" w:rsidRPr="00265F31">
        <w:rPr>
          <w:rFonts w:hAnsi="ＭＳ 明朝"/>
          <w:szCs w:val="24"/>
        </w:rPr>
        <w:tab/>
      </w:r>
    </w:p>
    <w:p w:rsidR="00986458" w:rsidRPr="00265F31" w:rsidRDefault="00986458" w:rsidP="00986458">
      <w:pPr>
        <w:spacing w:line="240" w:lineRule="auto"/>
        <w:ind w:leftChars="100" w:left="240" w:firstLineChars="300" w:firstLine="720"/>
        <w:rPr>
          <w:rFonts w:hAnsi="ＭＳ 明朝"/>
          <w:szCs w:val="24"/>
        </w:rPr>
      </w:pPr>
      <w:r w:rsidRPr="00265F31">
        <w:rPr>
          <w:rFonts w:hAnsi="ＭＳ 明朝" w:hint="eastAsia"/>
          <w:szCs w:val="24"/>
        </w:rPr>
        <w:t>不納欠損額は</w:t>
      </w:r>
      <w:r w:rsidR="00317BC7" w:rsidRPr="00265F31">
        <w:rPr>
          <w:rFonts w:hAnsi="ＭＳ 明朝" w:hint="eastAsia"/>
          <w:szCs w:val="24"/>
        </w:rPr>
        <w:t>60,177</w:t>
      </w:r>
      <w:r w:rsidRPr="00265F31">
        <w:rPr>
          <w:rFonts w:hAnsi="ＭＳ 明朝" w:hint="eastAsia"/>
          <w:szCs w:val="24"/>
        </w:rPr>
        <w:t>千円で、前年度に比べ</w:t>
      </w:r>
      <w:r w:rsidR="00317BC7" w:rsidRPr="00265F31">
        <w:rPr>
          <w:rFonts w:hAnsi="ＭＳ 明朝" w:hint="eastAsia"/>
          <w:szCs w:val="24"/>
        </w:rPr>
        <w:t>6,639</w:t>
      </w:r>
      <w:r w:rsidRPr="00265F31">
        <w:rPr>
          <w:rFonts w:hAnsi="ＭＳ 明朝" w:hint="eastAsia"/>
          <w:szCs w:val="24"/>
        </w:rPr>
        <w:t>千円（</w:t>
      </w:r>
      <w:r w:rsidR="00317BC7" w:rsidRPr="00265F31">
        <w:rPr>
          <w:rFonts w:hAnsi="ＭＳ 明朝" w:hint="eastAsia"/>
          <w:szCs w:val="24"/>
        </w:rPr>
        <w:t>12.4</w:t>
      </w:r>
      <w:r w:rsidRPr="00265F31">
        <w:rPr>
          <w:rFonts w:hAnsi="ＭＳ 明朝" w:hint="eastAsia"/>
          <w:szCs w:val="24"/>
        </w:rPr>
        <w:t>％）</w:t>
      </w:r>
      <w:r w:rsidR="00317BC7" w:rsidRPr="00265F31">
        <w:rPr>
          <w:rFonts w:hAnsi="ＭＳ 明朝" w:hint="eastAsia"/>
          <w:szCs w:val="24"/>
        </w:rPr>
        <w:t>増加</w:t>
      </w:r>
      <w:r w:rsidRPr="00265F31">
        <w:rPr>
          <w:rFonts w:hAnsi="ＭＳ 明朝" w:hint="eastAsia"/>
          <w:szCs w:val="24"/>
        </w:rPr>
        <w:t>している。</w:t>
      </w:r>
    </w:p>
    <w:p w:rsidR="00296E3F" w:rsidRPr="00265F31" w:rsidRDefault="00986458" w:rsidP="00C0188E">
      <w:pPr>
        <w:spacing w:line="240" w:lineRule="auto"/>
        <w:ind w:leftChars="300" w:left="720" w:firstLineChars="100" w:firstLine="240"/>
        <w:jc w:val="distribute"/>
        <w:rPr>
          <w:rFonts w:hAnsi="ＭＳ 明朝"/>
          <w:szCs w:val="24"/>
        </w:rPr>
      </w:pPr>
      <w:r w:rsidRPr="00265F31">
        <w:rPr>
          <w:rFonts w:hAnsi="ＭＳ 明朝" w:hint="eastAsia"/>
          <w:szCs w:val="24"/>
        </w:rPr>
        <w:t>不納欠損額の内訳は</w:t>
      </w:r>
      <w:r w:rsidR="003B2A9A" w:rsidRPr="00265F31">
        <w:rPr>
          <w:rFonts w:hAnsi="ＭＳ 明朝" w:hint="eastAsia"/>
          <w:szCs w:val="24"/>
        </w:rPr>
        <w:t>、</w:t>
      </w:r>
      <w:r w:rsidRPr="00265F31">
        <w:rPr>
          <w:rFonts w:hAnsi="ＭＳ 明朝" w:hint="eastAsia"/>
          <w:szCs w:val="24"/>
        </w:rPr>
        <w:t>地方税法第18条の規定(</w:t>
      </w:r>
      <w:r w:rsidR="003B2A9A" w:rsidRPr="00265F31">
        <w:rPr>
          <w:rFonts w:hAnsi="ＭＳ 明朝" w:hint="eastAsia"/>
          <w:szCs w:val="24"/>
        </w:rPr>
        <w:t>消滅時効５</w:t>
      </w:r>
      <w:r w:rsidRPr="00265F31">
        <w:rPr>
          <w:rFonts w:hAnsi="ＭＳ 明朝" w:hint="eastAsia"/>
          <w:szCs w:val="24"/>
        </w:rPr>
        <w:t>年間）による</w:t>
      </w:r>
      <w:r w:rsidR="00A24C3F" w:rsidRPr="00265F31">
        <w:rPr>
          <w:rFonts w:hAnsi="ＭＳ 明朝" w:hint="eastAsia"/>
          <w:szCs w:val="24"/>
        </w:rPr>
        <w:t>もの</w:t>
      </w:r>
    </w:p>
    <w:p w:rsidR="00296E3F" w:rsidRPr="00265F31" w:rsidRDefault="00317BC7" w:rsidP="00296E3F">
      <w:pPr>
        <w:spacing w:line="240" w:lineRule="auto"/>
        <w:ind w:leftChars="300" w:left="720"/>
        <w:jc w:val="distribute"/>
        <w:rPr>
          <w:rFonts w:hAnsi="ＭＳ 明朝"/>
          <w:szCs w:val="24"/>
        </w:rPr>
      </w:pPr>
      <w:r w:rsidRPr="00265F31">
        <w:rPr>
          <w:rFonts w:hAnsi="ＭＳ 明朝" w:hint="eastAsia"/>
          <w:szCs w:val="24"/>
        </w:rPr>
        <w:t>29,405</w:t>
      </w:r>
      <w:r w:rsidR="00E96C92" w:rsidRPr="00265F31">
        <w:rPr>
          <w:rFonts w:hAnsi="ＭＳ 明朝" w:hint="eastAsia"/>
          <w:szCs w:val="24"/>
        </w:rPr>
        <w:t>千円、同</w:t>
      </w:r>
      <w:r w:rsidR="00986458" w:rsidRPr="00265F31">
        <w:rPr>
          <w:rFonts w:hAnsi="ＭＳ 明朝" w:hint="eastAsia"/>
          <w:szCs w:val="24"/>
        </w:rPr>
        <w:t>法第15条の</w:t>
      </w:r>
      <w:r w:rsidR="003B2A9A" w:rsidRPr="00265F31">
        <w:rPr>
          <w:rFonts w:hAnsi="ＭＳ 明朝" w:hint="eastAsia"/>
          <w:szCs w:val="24"/>
        </w:rPr>
        <w:t>７</w:t>
      </w:r>
      <w:r w:rsidR="00986458" w:rsidRPr="00265F31">
        <w:rPr>
          <w:rFonts w:hAnsi="ＭＳ 明朝" w:hint="eastAsia"/>
          <w:szCs w:val="24"/>
        </w:rPr>
        <w:t>第</w:t>
      </w:r>
      <w:r w:rsidR="003B2A9A" w:rsidRPr="00265F31">
        <w:rPr>
          <w:rFonts w:hAnsi="ＭＳ 明朝" w:hint="eastAsia"/>
          <w:szCs w:val="24"/>
        </w:rPr>
        <w:t>４</w:t>
      </w:r>
      <w:r w:rsidR="00986458" w:rsidRPr="00265F31">
        <w:rPr>
          <w:rFonts w:hAnsi="ＭＳ 明朝" w:hint="eastAsia"/>
          <w:szCs w:val="24"/>
        </w:rPr>
        <w:t>項の規定(</w:t>
      </w:r>
      <w:r w:rsidR="003B2A9A" w:rsidRPr="00265F31">
        <w:rPr>
          <w:rFonts w:hAnsi="ＭＳ 明朝" w:hint="eastAsia"/>
          <w:szCs w:val="24"/>
        </w:rPr>
        <w:t>滞納処分の執行停止が３</w:t>
      </w:r>
      <w:r w:rsidR="00986458" w:rsidRPr="00265F31">
        <w:rPr>
          <w:rFonts w:hAnsi="ＭＳ 明朝" w:hint="eastAsia"/>
          <w:szCs w:val="24"/>
        </w:rPr>
        <w:t>年間継続</w:t>
      </w:r>
    </w:p>
    <w:p w:rsidR="00E96C92" w:rsidRPr="00265F31" w:rsidRDefault="00986458" w:rsidP="00E96C92">
      <w:pPr>
        <w:spacing w:line="240" w:lineRule="auto"/>
        <w:ind w:leftChars="300" w:left="720"/>
        <w:jc w:val="distribute"/>
        <w:rPr>
          <w:rFonts w:hAnsi="ＭＳ 明朝"/>
          <w:szCs w:val="24"/>
        </w:rPr>
      </w:pPr>
      <w:r w:rsidRPr="00265F31">
        <w:rPr>
          <w:rFonts w:hAnsi="ＭＳ 明朝" w:hint="eastAsia"/>
          <w:szCs w:val="24"/>
        </w:rPr>
        <w:t>したことによる納付・納入義務消滅)による</w:t>
      </w:r>
      <w:r w:rsidR="00A24C3F" w:rsidRPr="00265F31">
        <w:rPr>
          <w:rFonts w:hAnsi="ＭＳ 明朝" w:hint="eastAsia"/>
          <w:szCs w:val="24"/>
        </w:rPr>
        <w:t>もの</w:t>
      </w:r>
      <w:r w:rsidR="00317BC7" w:rsidRPr="00265F31">
        <w:rPr>
          <w:rFonts w:hAnsi="ＭＳ 明朝" w:hint="eastAsia"/>
          <w:szCs w:val="24"/>
        </w:rPr>
        <w:t>28,814</w:t>
      </w:r>
      <w:r w:rsidR="00E96C92" w:rsidRPr="00265F31">
        <w:rPr>
          <w:rFonts w:hAnsi="ＭＳ 明朝" w:hint="eastAsia"/>
          <w:szCs w:val="24"/>
        </w:rPr>
        <w:t>千円及び同</w:t>
      </w:r>
      <w:r w:rsidRPr="00265F31">
        <w:rPr>
          <w:rFonts w:hAnsi="ＭＳ 明朝" w:hint="eastAsia"/>
          <w:szCs w:val="24"/>
        </w:rPr>
        <w:t>法第15条の</w:t>
      </w:r>
      <w:r w:rsidR="003B2A9A" w:rsidRPr="00265F31">
        <w:rPr>
          <w:rFonts w:hAnsi="ＭＳ 明朝" w:hint="eastAsia"/>
          <w:szCs w:val="24"/>
        </w:rPr>
        <w:t>７</w:t>
      </w:r>
    </w:p>
    <w:p w:rsidR="007719F5" w:rsidRPr="00007353" w:rsidRDefault="00986458" w:rsidP="00007353">
      <w:pPr>
        <w:spacing w:line="240" w:lineRule="auto"/>
        <w:ind w:leftChars="300" w:left="720"/>
        <w:rPr>
          <w:rFonts w:hAnsi="ＭＳ 明朝"/>
          <w:w w:val="91"/>
          <w:szCs w:val="24"/>
        </w:rPr>
      </w:pPr>
      <w:r w:rsidRPr="00265F31">
        <w:rPr>
          <w:rFonts w:hAnsi="ＭＳ 明朝" w:hint="eastAsia"/>
          <w:szCs w:val="24"/>
        </w:rPr>
        <w:t>第</w:t>
      </w:r>
      <w:r w:rsidR="003B2A9A" w:rsidRPr="00265F31">
        <w:rPr>
          <w:rFonts w:hAnsi="ＭＳ 明朝" w:hint="eastAsia"/>
          <w:szCs w:val="24"/>
        </w:rPr>
        <w:t>５</w:t>
      </w:r>
      <w:r w:rsidRPr="00265F31">
        <w:rPr>
          <w:rFonts w:hAnsi="ＭＳ 明朝" w:hint="eastAsia"/>
          <w:szCs w:val="24"/>
        </w:rPr>
        <w:t>項の規定（即時消滅）による</w:t>
      </w:r>
      <w:r w:rsidR="00A24C3F" w:rsidRPr="00265F31">
        <w:rPr>
          <w:rFonts w:hAnsi="ＭＳ 明朝" w:hint="eastAsia"/>
          <w:szCs w:val="24"/>
        </w:rPr>
        <w:t>もの</w:t>
      </w:r>
      <w:r w:rsidR="00317BC7" w:rsidRPr="00265F31">
        <w:rPr>
          <w:rFonts w:hAnsi="ＭＳ 明朝" w:hint="eastAsia"/>
          <w:szCs w:val="24"/>
        </w:rPr>
        <w:t>1,958</w:t>
      </w:r>
      <w:r w:rsidRPr="00265F31">
        <w:rPr>
          <w:rFonts w:hAnsi="ＭＳ 明朝" w:hint="eastAsia"/>
          <w:szCs w:val="24"/>
        </w:rPr>
        <w:t>千円で</w:t>
      </w:r>
      <w:r w:rsidR="0062161A" w:rsidRPr="00265F31">
        <w:rPr>
          <w:rFonts w:hAnsi="ＭＳ 明朝" w:hint="eastAsia"/>
          <w:szCs w:val="24"/>
        </w:rPr>
        <w:t>ある</w:t>
      </w:r>
      <w:r w:rsidRPr="00265F31">
        <w:rPr>
          <w:rFonts w:hAnsi="ＭＳ 明朝" w:hint="eastAsia"/>
          <w:szCs w:val="24"/>
        </w:rPr>
        <w:t>。</w:t>
      </w:r>
    </w:p>
    <w:p w:rsidR="003C5F70" w:rsidRPr="00050BFC" w:rsidRDefault="003C5F70" w:rsidP="00986458">
      <w:pPr>
        <w:spacing w:line="240" w:lineRule="auto"/>
        <w:rPr>
          <w:rFonts w:hAnsi="ＭＳ 明朝"/>
          <w:color w:val="FF0000"/>
          <w:szCs w:val="24"/>
        </w:rPr>
      </w:pPr>
    </w:p>
    <w:p w:rsidR="00986458" w:rsidRPr="00986458" w:rsidRDefault="00986458" w:rsidP="00986458">
      <w:pPr>
        <w:spacing w:line="240" w:lineRule="auto"/>
        <w:rPr>
          <w:rFonts w:hAnsi="ＭＳ 明朝"/>
          <w:szCs w:val="24"/>
        </w:rPr>
      </w:pPr>
    </w:p>
    <w:p w:rsidR="00986458" w:rsidRPr="001F0CC2" w:rsidRDefault="00986458" w:rsidP="00986458">
      <w:pPr>
        <w:spacing w:line="240" w:lineRule="auto"/>
        <w:rPr>
          <w:rFonts w:hAnsi="ＭＳ 明朝"/>
          <w:szCs w:val="24"/>
        </w:rPr>
      </w:pPr>
    </w:p>
    <w:p w:rsidR="00986458" w:rsidRPr="00986458" w:rsidRDefault="00986458" w:rsidP="00986458">
      <w:pPr>
        <w:spacing w:line="240" w:lineRule="auto"/>
        <w:rPr>
          <w:rFonts w:hAnsi="ＭＳ 明朝"/>
          <w:szCs w:val="24"/>
        </w:rPr>
      </w:pPr>
    </w:p>
    <w:p w:rsidR="00986458" w:rsidRDefault="00986458" w:rsidP="00986458">
      <w:pPr>
        <w:spacing w:line="240" w:lineRule="auto"/>
        <w:rPr>
          <w:rFonts w:hAnsi="ＭＳ 明朝"/>
          <w:szCs w:val="24"/>
        </w:rPr>
      </w:pPr>
    </w:p>
    <w:p w:rsidR="00B00378" w:rsidRDefault="00B00378" w:rsidP="00986458">
      <w:pPr>
        <w:spacing w:line="240" w:lineRule="auto"/>
        <w:rPr>
          <w:rFonts w:hAnsi="ＭＳ 明朝"/>
          <w:szCs w:val="24"/>
        </w:rPr>
      </w:pPr>
    </w:p>
    <w:p w:rsidR="00A552F7" w:rsidRPr="00986458" w:rsidRDefault="00A552F7" w:rsidP="00986458">
      <w:pPr>
        <w:spacing w:line="240" w:lineRule="auto"/>
        <w:rPr>
          <w:rFonts w:hAnsi="ＭＳ 明朝"/>
          <w:szCs w:val="24"/>
        </w:rPr>
      </w:pPr>
    </w:p>
    <w:p w:rsidR="00986458" w:rsidRPr="00986458" w:rsidRDefault="00986458" w:rsidP="00986458">
      <w:pPr>
        <w:spacing w:line="240" w:lineRule="auto"/>
        <w:rPr>
          <w:rFonts w:hAnsi="ＭＳ 明朝"/>
          <w:szCs w:val="24"/>
        </w:rPr>
      </w:pPr>
    </w:p>
    <w:p w:rsidR="007D16EE" w:rsidRPr="00986458" w:rsidRDefault="007D16EE" w:rsidP="00986458">
      <w:pPr>
        <w:spacing w:line="240" w:lineRule="auto"/>
        <w:rPr>
          <w:rFonts w:hAnsi="ＭＳ 明朝"/>
          <w:szCs w:val="24"/>
        </w:rPr>
      </w:pPr>
    </w:p>
    <w:p w:rsidR="00874110" w:rsidRDefault="00874110" w:rsidP="00986458">
      <w:pPr>
        <w:spacing w:line="240" w:lineRule="auto"/>
        <w:rPr>
          <w:rFonts w:hAnsi="ＭＳ 明朝"/>
          <w:szCs w:val="24"/>
        </w:rPr>
      </w:pPr>
    </w:p>
    <w:p w:rsidR="00D7043C" w:rsidRDefault="00D7043C" w:rsidP="00986458">
      <w:pPr>
        <w:spacing w:line="240" w:lineRule="auto"/>
        <w:rPr>
          <w:rFonts w:hAnsi="ＭＳ 明朝"/>
          <w:szCs w:val="24"/>
        </w:rPr>
      </w:pPr>
    </w:p>
    <w:p w:rsidR="001C6E9D" w:rsidRDefault="001C6E9D" w:rsidP="00986458">
      <w:pPr>
        <w:spacing w:line="240" w:lineRule="auto"/>
        <w:rPr>
          <w:rFonts w:hAnsi="ＭＳ 明朝"/>
          <w:szCs w:val="24"/>
        </w:rPr>
      </w:pPr>
    </w:p>
    <w:p w:rsidR="00A32958" w:rsidRDefault="00A32958" w:rsidP="00986458">
      <w:pPr>
        <w:spacing w:line="240" w:lineRule="auto"/>
        <w:rPr>
          <w:rFonts w:hAnsi="ＭＳ 明朝"/>
          <w:szCs w:val="24"/>
        </w:rPr>
      </w:pPr>
    </w:p>
    <w:p w:rsidR="00317BC7" w:rsidRDefault="00317BC7" w:rsidP="00986458">
      <w:pPr>
        <w:spacing w:line="240" w:lineRule="auto"/>
        <w:rPr>
          <w:rFonts w:hAnsi="ＭＳ 明朝"/>
          <w:szCs w:val="24"/>
        </w:rPr>
      </w:pPr>
    </w:p>
    <w:p w:rsidR="00986458" w:rsidRPr="007D5C91" w:rsidRDefault="007D5C91" w:rsidP="00986458">
      <w:pPr>
        <w:spacing w:line="240" w:lineRule="auto"/>
        <w:rPr>
          <w:rFonts w:ascii="ＭＳ ゴシック" w:eastAsia="ＭＳ ゴシック" w:hAnsi="ＭＳ ゴシック"/>
          <w:szCs w:val="24"/>
        </w:rPr>
      </w:pPr>
      <w:r>
        <w:rPr>
          <w:rFonts w:hAnsi="ＭＳ 明朝" w:hint="eastAsia"/>
          <w:szCs w:val="24"/>
        </w:rPr>
        <w:lastRenderedPageBreak/>
        <w:t xml:space="preserve">　</w:t>
      </w:r>
      <w:r w:rsidRPr="006D0C88">
        <w:rPr>
          <w:rFonts w:ascii="ＭＳ ゴシック" w:eastAsia="ＭＳ ゴシック" w:hAnsi="ＭＳ ゴシック" w:hint="eastAsia"/>
          <w:szCs w:val="24"/>
        </w:rPr>
        <w:t>市税収入状況</w:t>
      </w:r>
    </w:p>
    <w:p w:rsidR="007D5C91" w:rsidRDefault="00430062" w:rsidP="00430062">
      <w:pPr>
        <w:wordWrap w:val="0"/>
        <w:spacing w:line="240" w:lineRule="auto"/>
        <w:ind w:firstLineChars="3100" w:firstLine="7440"/>
        <w:jc w:val="right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 xml:space="preserve"> </w:t>
      </w:r>
      <w:r w:rsidR="007D5C91">
        <w:rPr>
          <w:rFonts w:hAnsi="ＭＳ 明朝" w:hint="eastAsia"/>
          <w:szCs w:val="24"/>
        </w:rPr>
        <w:t>（単位：千円・％）</w:t>
      </w:r>
    </w:p>
    <w:p w:rsidR="007D5C91" w:rsidRDefault="00830BF3" w:rsidP="00986458">
      <w:pPr>
        <w:spacing w:line="240" w:lineRule="auto"/>
        <w:rPr>
          <w:rFonts w:hAnsi="ＭＳ 明朝"/>
          <w:szCs w:val="24"/>
        </w:rPr>
      </w:pPr>
      <w:r w:rsidRPr="00AE1072">
        <w:rPr>
          <w:rFonts w:hAnsi="ＭＳ 明朝"/>
          <w:szCs w:val="24"/>
        </w:rPr>
        <w:pict>
          <v:shape id="_x0000_i1041" type="#_x0000_t75" style="width:482.5pt;height:321.5pt">
            <v:imagedata r:id="rId12" o:title=""/>
          </v:shape>
        </w:pict>
      </w:r>
    </w:p>
    <w:p w:rsidR="007D5C91" w:rsidRDefault="007D5C91" w:rsidP="00986458">
      <w:pPr>
        <w:spacing w:line="240" w:lineRule="auto"/>
        <w:rPr>
          <w:rFonts w:hAnsi="ＭＳ 明朝"/>
          <w:szCs w:val="24"/>
        </w:rPr>
      </w:pPr>
    </w:p>
    <w:p w:rsidR="007D5C91" w:rsidRPr="00EC52A5" w:rsidRDefault="00EC52A5" w:rsidP="00986458">
      <w:pPr>
        <w:spacing w:line="240" w:lineRule="auto"/>
        <w:rPr>
          <w:rFonts w:ascii="ＭＳ ゴシック" w:eastAsia="ＭＳ ゴシック" w:hAnsi="ＭＳ ゴシック"/>
          <w:szCs w:val="24"/>
        </w:rPr>
      </w:pPr>
      <w:r>
        <w:rPr>
          <w:rFonts w:hAnsi="ＭＳ 明朝" w:hint="eastAsia"/>
          <w:szCs w:val="24"/>
        </w:rPr>
        <w:t xml:space="preserve">　</w:t>
      </w:r>
      <w:r w:rsidRPr="00EC52A5">
        <w:rPr>
          <w:rFonts w:ascii="ＭＳ ゴシック" w:eastAsia="ＭＳ ゴシック" w:hAnsi="ＭＳ ゴシック" w:hint="eastAsia"/>
          <w:szCs w:val="24"/>
        </w:rPr>
        <w:t>市税現年課税分・滞納繰越分別収入状況</w:t>
      </w:r>
    </w:p>
    <w:p w:rsidR="007D5C91" w:rsidRDefault="002145C3" w:rsidP="002145C3">
      <w:pPr>
        <w:wordWrap w:val="0"/>
        <w:spacing w:line="240" w:lineRule="auto"/>
        <w:ind w:firstLineChars="3100" w:firstLine="7440"/>
        <w:jc w:val="right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 xml:space="preserve"> </w:t>
      </w:r>
      <w:r w:rsidR="00EC52A5">
        <w:rPr>
          <w:rFonts w:hAnsi="ＭＳ 明朝" w:hint="eastAsia"/>
          <w:szCs w:val="24"/>
        </w:rPr>
        <w:t>（単位：千円・％）</w:t>
      </w:r>
    </w:p>
    <w:p w:rsidR="007D5C91" w:rsidRDefault="00830BF3" w:rsidP="001E7CE8">
      <w:pPr>
        <w:spacing w:line="240" w:lineRule="auto"/>
        <w:ind w:left="240" w:hangingChars="100" w:hanging="240"/>
        <w:rPr>
          <w:rFonts w:hAnsi="ＭＳ 明朝"/>
          <w:szCs w:val="24"/>
        </w:rPr>
      </w:pPr>
      <w:r w:rsidRPr="00AE1072">
        <w:rPr>
          <w:rFonts w:hAnsi="ＭＳ 明朝"/>
          <w:szCs w:val="24"/>
        </w:rPr>
        <w:pict>
          <v:shape id="_x0000_i1043" type="#_x0000_t75" style="width:481.5pt;height:201.5pt">
            <v:imagedata r:id="rId13" o:title=""/>
          </v:shape>
        </w:pict>
      </w:r>
      <w:r w:rsidR="001E7CE8" w:rsidRPr="007A17FB">
        <w:rPr>
          <w:rFonts w:hAnsi="ＭＳ 明朝" w:hint="eastAsia"/>
          <w:sz w:val="20"/>
        </w:rPr>
        <w:t>(注)「収入済額」欄中の（　）内は、「収入済額」に含まれる還付未了額である。</w:t>
      </w:r>
    </w:p>
    <w:p w:rsidR="007D5C91" w:rsidRDefault="007D5C91" w:rsidP="00986458">
      <w:pPr>
        <w:spacing w:line="240" w:lineRule="auto"/>
        <w:rPr>
          <w:rFonts w:hAnsi="ＭＳ 明朝"/>
          <w:szCs w:val="24"/>
        </w:rPr>
      </w:pPr>
    </w:p>
    <w:p w:rsidR="00C04825" w:rsidRDefault="00C04825" w:rsidP="00986458">
      <w:pPr>
        <w:spacing w:line="240" w:lineRule="auto"/>
        <w:rPr>
          <w:rFonts w:hAnsi="ＭＳ 明朝"/>
          <w:szCs w:val="24"/>
        </w:rPr>
      </w:pPr>
    </w:p>
    <w:p w:rsidR="00830BF3" w:rsidRDefault="00830BF3" w:rsidP="00986458">
      <w:pPr>
        <w:spacing w:line="240" w:lineRule="auto"/>
        <w:rPr>
          <w:rFonts w:hAnsi="ＭＳ 明朝" w:hint="eastAsia"/>
          <w:szCs w:val="24"/>
        </w:rPr>
      </w:pPr>
    </w:p>
    <w:p w:rsidR="00C34616" w:rsidRDefault="00C34616" w:rsidP="00986458">
      <w:pPr>
        <w:spacing w:line="240" w:lineRule="auto"/>
        <w:rPr>
          <w:rFonts w:hAnsi="ＭＳ 明朝"/>
          <w:szCs w:val="24"/>
        </w:rPr>
      </w:pPr>
    </w:p>
    <w:p w:rsidR="007D5C91" w:rsidRPr="001E7CE8" w:rsidRDefault="001E7CE8" w:rsidP="00986458">
      <w:pPr>
        <w:spacing w:line="240" w:lineRule="auto"/>
        <w:rPr>
          <w:rFonts w:ascii="ＭＳ ゴシック" w:eastAsia="ＭＳ ゴシック" w:hAnsi="ＭＳ ゴシック"/>
          <w:szCs w:val="24"/>
        </w:rPr>
      </w:pPr>
      <w:r>
        <w:rPr>
          <w:rFonts w:hAnsi="ＭＳ 明朝" w:hint="eastAsia"/>
          <w:szCs w:val="24"/>
        </w:rPr>
        <w:lastRenderedPageBreak/>
        <w:t xml:space="preserve">　</w:t>
      </w:r>
      <w:r w:rsidRPr="001E7CE8">
        <w:rPr>
          <w:rFonts w:ascii="ＭＳ ゴシック" w:eastAsia="ＭＳ ゴシック" w:hAnsi="ＭＳ ゴシック" w:hint="eastAsia"/>
          <w:szCs w:val="24"/>
        </w:rPr>
        <w:t>市税収入未済額状況</w:t>
      </w:r>
    </w:p>
    <w:p w:rsidR="007D5C91" w:rsidRDefault="007A16C9" w:rsidP="007A16C9">
      <w:pPr>
        <w:spacing w:line="240" w:lineRule="auto"/>
        <w:ind w:firstLineChars="3100" w:firstLine="7440"/>
        <w:jc w:val="right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 xml:space="preserve"> </w:t>
      </w:r>
      <w:r w:rsidR="00110623">
        <w:rPr>
          <w:rFonts w:hAnsi="ＭＳ 明朝" w:hint="eastAsia"/>
          <w:szCs w:val="24"/>
        </w:rPr>
        <w:t xml:space="preserve">　 </w:t>
      </w:r>
      <w:r w:rsidR="001E7CE8" w:rsidRPr="00754461">
        <w:rPr>
          <w:rFonts w:hAnsi="ＭＳ 明朝" w:hint="eastAsia"/>
          <w:szCs w:val="24"/>
        </w:rPr>
        <w:t>（単位：千円・％）</w:t>
      </w:r>
    </w:p>
    <w:p w:rsidR="007D5C91" w:rsidRDefault="00830BF3" w:rsidP="00986458">
      <w:pPr>
        <w:spacing w:line="240" w:lineRule="auto"/>
        <w:rPr>
          <w:rFonts w:hAnsi="ＭＳ 明朝"/>
          <w:szCs w:val="24"/>
        </w:rPr>
      </w:pPr>
      <w:r w:rsidRPr="00AE1072">
        <w:rPr>
          <w:rFonts w:hAnsi="ＭＳ 明朝"/>
          <w:szCs w:val="24"/>
        </w:rPr>
        <w:pict>
          <v:shape id="_x0000_i1045" type="#_x0000_t75" style="width:484pt;height:345.5pt">
            <v:imagedata r:id="rId14" o:title=""/>
          </v:shape>
        </w:pict>
      </w:r>
    </w:p>
    <w:p w:rsidR="00830BF3" w:rsidRDefault="002959FA" w:rsidP="00986458">
      <w:pPr>
        <w:spacing w:line="240" w:lineRule="auto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 xml:space="preserve">　</w:t>
      </w:r>
    </w:p>
    <w:p w:rsidR="007D5C91" w:rsidRPr="002959FA" w:rsidRDefault="002959FA" w:rsidP="00830BF3">
      <w:pPr>
        <w:spacing w:line="240" w:lineRule="auto"/>
        <w:ind w:firstLineChars="100" w:firstLine="240"/>
        <w:rPr>
          <w:rFonts w:ascii="ＭＳ ゴシック" w:eastAsia="ＭＳ ゴシック" w:hAnsi="ＭＳ ゴシック"/>
          <w:szCs w:val="24"/>
        </w:rPr>
      </w:pPr>
      <w:r w:rsidRPr="002959FA">
        <w:rPr>
          <w:rFonts w:ascii="ＭＳ ゴシック" w:eastAsia="ＭＳ ゴシック" w:hAnsi="ＭＳ ゴシック" w:hint="eastAsia"/>
          <w:szCs w:val="24"/>
        </w:rPr>
        <w:t>市税不納欠損処分状況</w:t>
      </w:r>
    </w:p>
    <w:p w:rsidR="002959FA" w:rsidRDefault="009E43C9" w:rsidP="007A16C9">
      <w:pPr>
        <w:wordWrap w:val="0"/>
        <w:spacing w:line="240" w:lineRule="auto"/>
        <w:ind w:firstLineChars="3150" w:firstLine="7560"/>
        <w:jc w:val="right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 xml:space="preserve">  </w:t>
      </w:r>
      <w:r w:rsidR="002959FA" w:rsidRPr="00754461">
        <w:rPr>
          <w:rFonts w:hAnsi="ＭＳ 明朝" w:hint="eastAsia"/>
          <w:szCs w:val="24"/>
        </w:rPr>
        <w:t>（単位：千円・％）</w:t>
      </w:r>
    </w:p>
    <w:p w:rsidR="00727CA6" w:rsidRDefault="00830BF3" w:rsidP="00986458">
      <w:pPr>
        <w:spacing w:line="240" w:lineRule="auto"/>
        <w:rPr>
          <w:rFonts w:hAnsi="ＭＳ 明朝"/>
          <w:szCs w:val="24"/>
        </w:rPr>
      </w:pPr>
      <w:r w:rsidRPr="00AE1072">
        <w:rPr>
          <w:rFonts w:hAnsi="ＭＳ 明朝"/>
          <w:szCs w:val="24"/>
        </w:rPr>
        <w:pict>
          <v:shape id="_x0000_i1047" type="#_x0000_t75" style="width:479.5pt;height:223.5pt">
            <v:imagedata r:id="rId15" o:title=""/>
          </v:shape>
        </w:pict>
      </w:r>
    </w:p>
    <w:p w:rsidR="00FC45A0" w:rsidRDefault="00FC45A0" w:rsidP="009136B9">
      <w:pPr>
        <w:kinsoku w:val="0"/>
        <w:overflowPunct w:val="0"/>
        <w:snapToGrid w:val="0"/>
        <w:spacing w:line="240" w:lineRule="auto"/>
        <w:ind w:firstLineChars="200" w:firstLine="480"/>
        <w:rPr>
          <w:rFonts w:ascii="ＭＳ ゴシック" w:eastAsia="ＭＳ ゴシック" w:hAnsi="ＭＳ ゴシック"/>
          <w:szCs w:val="24"/>
        </w:rPr>
      </w:pPr>
    </w:p>
    <w:p w:rsidR="005C5367" w:rsidRDefault="005C5367" w:rsidP="009136B9">
      <w:pPr>
        <w:kinsoku w:val="0"/>
        <w:overflowPunct w:val="0"/>
        <w:snapToGrid w:val="0"/>
        <w:spacing w:line="240" w:lineRule="auto"/>
        <w:ind w:firstLineChars="200" w:firstLine="480"/>
        <w:rPr>
          <w:rFonts w:ascii="ＭＳ ゴシック" w:eastAsia="ＭＳ ゴシック" w:hAnsi="ＭＳ ゴシック"/>
          <w:szCs w:val="24"/>
        </w:rPr>
      </w:pPr>
    </w:p>
    <w:p w:rsidR="00720F37" w:rsidRPr="00EE6EA7" w:rsidRDefault="009136B9" w:rsidP="00EE6EA7">
      <w:pPr>
        <w:pStyle w:val="af0"/>
        <w:numPr>
          <w:ilvl w:val="0"/>
          <w:numId w:val="1"/>
        </w:numPr>
        <w:kinsoku w:val="0"/>
        <w:overflowPunct w:val="0"/>
        <w:snapToGrid w:val="0"/>
        <w:spacing w:line="240" w:lineRule="auto"/>
        <w:ind w:leftChars="0"/>
        <w:rPr>
          <w:rFonts w:ascii="ＭＳ ゴシック" w:eastAsia="ＭＳ ゴシック" w:hAnsi="ＭＳ ゴシック"/>
          <w:snapToGrid w:val="0"/>
          <w:szCs w:val="24"/>
        </w:rPr>
      </w:pPr>
      <w:r w:rsidRPr="00EE6EA7">
        <w:rPr>
          <w:rFonts w:ascii="ＭＳ ゴシック" w:eastAsia="ＭＳ ゴシック" w:hAnsi="ＭＳ ゴシック" w:hint="eastAsia"/>
          <w:szCs w:val="24"/>
        </w:rPr>
        <w:lastRenderedPageBreak/>
        <w:t xml:space="preserve">　</w:t>
      </w:r>
      <w:r w:rsidRPr="00EE6EA7">
        <w:rPr>
          <w:rFonts w:ascii="ＭＳ ゴシック" w:eastAsia="ＭＳ ゴシック" w:hAnsi="ＭＳ ゴシック" w:hint="eastAsia"/>
          <w:snapToGrid w:val="0"/>
          <w:szCs w:val="24"/>
        </w:rPr>
        <w:t>市債の状況</w:t>
      </w:r>
    </w:p>
    <w:p w:rsidR="005D147D" w:rsidRDefault="009136B9" w:rsidP="00394771">
      <w:pPr>
        <w:kinsoku w:val="0"/>
        <w:overflowPunct w:val="0"/>
        <w:snapToGrid w:val="0"/>
        <w:spacing w:line="240" w:lineRule="auto"/>
        <w:ind w:leftChars="300" w:left="720" w:firstLineChars="100" w:firstLine="240"/>
        <w:jc w:val="distribute"/>
        <w:rPr>
          <w:rFonts w:hAnsi="ＭＳ 明朝"/>
          <w:szCs w:val="24"/>
        </w:rPr>
      </w:pPr>
      <w:r w:rsidRPr="0077289F">
        <w:rPr>
          <w:rFonts w:hAnsi="ＭＳ 明朝" w:hint="eastAsia"/>
          <w:szCs w:val="24"/>
        </w:rPr>
        <w:t>一般会計の当年度の市債発行額は</w:t>
      </w:r>
      <w:r w:rsidR="00EE6EA7">
        <w:rPr>
          <w:rFonts w:hAnsi="ＭＳ 明朝" w:hint="eastAsia"/>
          <w:szCs w:val="24"/>
        </w:rPr>
        <w:t>7,634,000</w:t>
      </w:r>
      <w:r w:rsidRPr="0077289F">
        <w:rPr>
          <w:rFonts w:hAnsi="ＭＳ 明朝" w:hint="eastAsia"/>
          <w:szCs w:val="24"/>
        </w:rPr>
        <w:t>千円で、前年度に比べ</w:t>
      </w:r>
      <w:r w:rsidR="00EE6EA7">
        <w:rPr>
          <w:rFonts w:hAnsi="ＭＳ 明朝" w:hint="eastAsia"/>
          <w:szCs w:val="24"/>
        </w:rPr>
        <w:t>343,500</w:t>
      </w:r>
      <w:r w:rsidRPr="0077289F">
        <w:rPr>
          <w:rFonts w:hAnsi="ＭＳ 明朝" w:hint="eastAsia"/>
          <w:szCs w:val="24"/>
        </w:rPr>
        <w:t>千円</w:t>
      </w:r>
    </w:p>
    <w:p w:rsidR="00E96C92" w:rsidRDefault="005D147D" w:rsidP="00E96C92">
      <w:pPr>
        <w:kinsoku w:val="0"/>
        <w:overflowPunct w:val="0"/>
        <w:snapToGrid w:val="0"/>
        <w:spacing w:line="240" w:lineRule="auto"/>
        <w:ind w:leftChars="300" w:left="720"/>
        <w:jc w:val="distribute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>(</w:t>
      </w:r>
      <w:r w:rsidR="00F15549">
        <w:rPr>
          <w:rFonts w:hAnsi="ＭＳ 明朝" w:hint="eastAsia"/>
          <w:szCs w:val="24"/>
        </w:rPr>
        <w:t>4.7％</w:t>
      </w:r>
      <w:r w:rsidR="009136B9" w:rsidRPr="0077289F">
        <w:rPr>
          <w:rFonts w:hAnsi="ＭＳ 明朝" w:hint="eastAsia"/>
          <w:szCs w:val="24"/>
        </w:rPr>
        <w:t>)</w:t>
      </w:r>
      <w:r w:rsidR="00EE6EA7">
        <w:rPr>
          <w:rFonts w:hAnsi="ＭＳ 明朝" w:hint="eastAsia"/>
          <w:szCs w:val="24"/>
        </w:rPr>
        <w:t>増加</w:t>
      </w:r>
      <w:r w:rsidR="009136B9" w:rsidRPr="0077289F">
        <w:rPr>
          <w:rFonts w:hAnsi="ＭＳ 明朝" w:hint="eastAsia"/>
          <w:szCs w:val="24"/>
        </w:rPr>
        <w:t>している。歳入に占める割合は</w:t>
      </w:r>
      <w:r w:rsidR="00EE6EA7">
        <w:rPr>
          <w:rFonts w:hAnsi="ＭＳ 明朝" w:hint="eastAsia"/>
          <w:szCs w:val="24"/>
        </w:rPr>
        <w:t>8.4</w:t>
      </w:r>
      <w:r w:rsidR="009136B9" w:rsidRPr="0077289F">
        <w:rPr>
          <w:rFonts w:hAnsi="ＭＳ 明朝" w:hint="eastAsia"/>
          <w:szCs w:val="24"/>
        </w:rPr>
        <w:t>％で</w:t>
      </w:r>
      <w:r w:rsidR="003B2A9A" w:rsidRPr="00E96C92">
        <w:rPr>
          <w:rFonts w:hAnsi="ＭＳ 明朝" w:hint="eastAsia"/>
          <w:szCs w:val="24"/>
        </w:rPr>
        <w:t>、</w:t>
      </w:r>
      <w:r w:rsidR="009136B9" w:rsidRPr="00E96C92">
        <w:rPr>
          <w:rFonts w:hAnsi="ＭＳ 明朝" w:hint="eastAsia"/>
          <w:szCs w:val="24"/>
        </w:rPr>
        <w:t>前</w:t>
      </w:r>
      <w:r w:rsidR="009136B9" w:rsidRPr="0077289F">
        <w:rPr>
          <w:rFonts w:hAnsi="ＭＳ 明朝" w:hint="eastAsia"/>
          <w:szCs w:val="24"/>
        </w:rPr>
        <w:t>年</w:t>
      </w:r>
      <w:r w:rsidR="009136B9" w:rsidRPr="001C6E9D">
        <w:rPr>
          <w:rFonts w:hAnsi="ＭＳ 明朝" w:hint="eastAsia"/>
          <w:szCs w:val="24"/>
        </w:rPr>
        <w:t>度</w:t>
      </w:r>
      <w:r w:rsidR="003B2A9A" w:rsidRPr="001C6E9D">
        <w:rPr>
          <w:rFonts w:hAnsi="ＭＳ 明朝" w:hint="eastAsia"/>
          <w:szCs w:val="24"/>
        </w:rPr>
        <w:t>に比べ</w:t>
      </w:r>
      <w:r w:rsidR="00EE6EA7">
        <w:rPr>
          <w:rFonts w:hAnsi="ＭＳ 明朝" w:hint="eastAsia"/>
          <w:szCs w:val="24"/>
        </w:rPr>
        <w:t>2.3</w:t>
      </w:r>
      <w:r w:rsidR="009136B9" w:rsidRPr="0077289F">
        <w:rPr>
          <w:rFonts w:hAnsi="ＭＳ 明朝" w:hint="eastAsia"/>
          <w:szCs w:val="24"/>
        </w:rPr>
        <w:t>ポイント</w:t>
      </w:r>
    </w:p>
    <w:p w:rsidR="001C6E9D" w:rsidRDefault="00B66F4D" w:rsidP="001C6E9D">
      <w:pPr>
        <w:kinsoku w:val="0"/>
        <w:overflowPunct w:val="0"/>
        <w:snapToGrid w:val="0"/>
        <w:spacing w:line="240" w:lineRule="auto"/>
        <w:ind w:leftChars="300" w:left="720"/>
        <w:jc w:val="distribute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>低下</w:t>
      </w:r>
      <w:r w:rsidR="009136B9" w:rsidRPr="0077289F">
        <w:rPr>
          <w:rFonts w:hAnsi="ＭＳ 明朝" w:hint="eastAsia"/>
          <w:szCs w:val="24"/>
        </w:rPr>
        <w:t>している。</w:t>
      </w:r>
      <w:r w:rsidR="00EF3DEF" w:rsidRPr="001A5D53">
        <w:rPr>
          <w:rFonts w:hAnsi="ＭＳ 明朝" w:hint="eastAsia"/>
          <w:szCs w:val="24"/>
        </w:rPr>
        <w:t>このうち、借換債</w:t>
      </w:r>
      <w:r w:rsidR="00EE6EA7">
        <w:rPr>
          <w:rFonts w:hAnsi="ＭＳ 明朝" w:hint="eastAsia"/>
          <w:szCs w:val="24"/>
        </w:rPr>
        <w:t>1,415,000</w:t>
      </w:r>
      <w:r w:rsidR="00EF3DEF" w:rsidRPr="001A5D53">
        <w:rPr>
          <w:rFonts w:hAnsi="ＭＳ 明朝" w:hint="eastAsia"/>
          <w:szCs w:val="24"/>
        </w:rPr>
        <w:t>千円を除いた額は</w:t>
      </w:r>
      <w:r w:rsidR="00EE6EA7">
        <w:rPr>
          <w:rFonts w:hAnsi="ＭＳ 明朝" w:hint="eastAsia"/>
          <w:szCs w:val="24"/>
        </w:rPr>
        <w:t>6,219,000</w:t>
      </w:r>
      <w:r w:rsidR="00465E37" w:rsidRPr="007E1B0F">
        <w:rPr>
          <w:rFonts w:hAnsi="ＭＳ 明朝" w:hint="eastAsia"/>
          <w:szCs w:val="24"/>
        </w:rPr>
        <w:t>千円で、</w:t>
      </w:r>
    </w:p>
    <w:p w:rsidR="00A47C89" w:rsidRDefault="007E1B0F" w:rsidP="001252B7">
      <w:pPr>
        <w:kinsoku w:val="0"/>
        <w:overflowPunct w:val="0"/>
        <w:snapToGrid w:val="0"/>
        <w:spacing w:line="240" w:lineRule="auto"/>
        <w:ind w:leftChars="300" w:left="720"/>
        <w:rPr>
          <w:rFonts w:hAnsi="ＭＳ 明朝"/>
          <w:szCs w:val="24"/>
        </w:rPr>
      </w:pPr>
      <w:r w:rsidRPr="00A47C89">
        <w:rPr>
          <w:rFonts w:hAnsi="ＭＳ 明朝" w:hint="eastAsia"/>
          <w:szCs w:val="24"/>
        </w:rPr>
        <w:t>前年度</w:t>
      </w:r>
      <w:r w:rsidR="001C6E9D" w:rsidRPr="00A47C89">
        <w:rPr>
          <w:rFonts w:hAnsi="ＭＳ 明朝" w:hint="eastAsia"/>
          <w:szCs w:val="24"/>
        </w:rPr>
        <w:t>に比べ</w:t>
      </w:r>
      <w:r w:rsidR="00EE6EA7">
        <w:rPr>
          <w:rFonts w:hAnsi="ＭＳ 明朝" w:hint="eastAsia"/>
          <w:szCs w:val="24"/>
        </w:rPr>
        <w:t>137,800</w:t>
      </w:r>
      <w:r w:rsidR="00EF3DEF" w:rsidRPr="00A47C89">
        <w:rPr>
          <w:rFonts w:hAnsi="ＭＳ 明朝" w:hint="eastAsia"/>
          <w:szCs w:val="24"/>
        </w:rPr>
        <w:t>千円（</w:t>
      </w:r>
      <w:r w:rsidR="00EE6EA7">
        <w:rPr>
          <w:rFonts w:hAnsi="ＭＳ 明朝" w:hint="eastAsia"/>
          <w:szCs w:val="24"/>
        </w:rPr>
        <w:t>2.3</w:t>
      </w:r>
      <w:r w:rsidR="00EF3DEF" w:rsidRPr="00A47C89">
        <w:rPr>
          <w:rFonts w:hAnsi="ＭＳ 明朝" w:hint="eastAsia"/>
          <w:szCs w:val="24"/>
        </w:rPr>
        <w:t>％）</w:t>
      </w:r>
      <w:r w:rsidR="00EE6EA7">
        <w:rPr>
          <w:rFonts w:hAnsi="ＭＳ 明朝" w:hint="eastAsia"/>
          <w:szCs w:val="24"/>
        </w:rPr>
        <w:t>増加</w:t>
      </w:r>
      <w:r w:rsidR="00EF3DEF" w:rsidRPr="00A47C89">
        <w:rPr>
          <w:rFonts w:hAnsi="ＭＳ 明朝" w:hint="eastAsia"/>
          <w:szCs w:val="24"/>
        </w:rPr>
        <w:t>している</w:t>
      </w:r>
      <w:r w:rsidR="00E96C92" w:rsidRPr="00A47C89">
        <w:rPr>
          <w:rFonts w:hAnsi="ＭＳ 明朝" w:hint="eastAsia"/>
          <w:szCs w:val="24"/>
        </w:rPr>
        <w:t>。</w:t>
      </w:r>
      <w:r w:rsidR="00874110" w:rsidRPr="00A47C89">
        <w:rPr>
          <w:rFonts w:hAnsi="ＭＳ 明朝" w:hint="eastAsia"/>
          <w:szCs w:val="24"/>
        </w:rPr>
        <w:t>これは</w:t>
      </w:r>
      <w:r w:rsidR="00295296" w:rsidRPr="00A47C89">
        <w:rPr>
          <w:rFonts w:hAnsi="ＭＳ 明朝" w:hint="eastAsia"/>
          <w:szCs w:val="24"/>
        </w:rPr>
        <w:t>主に</w:t>
      </w:r>
      <w:r w:rsidR="00874110" w:rsidRPr="00A47C89">
        <w:rPr>
          <w:rFonts w:hAnsi="ＭＳ 明朝" w:hint="eastAsia"/>
          <w:szCs w:val="24"/>
        </w:rPr>
        <w:t>、</w:t>
      </w:r>
      <w:r w:rsidR="00B43BE4" w:rsidRPr="00A47C89">
        <w:rPr>
          <w:rFonts w:hAnsi="ＭＳ 明朝" w:hint="eastAsia"/>
          <w:szCs w:val="24"/>
        </w:rPr>
        <w:t>教育債</w:t>
      </w:r>
      <w:r w:rsidR="00E63A71" w:rsidRPr="00A47C89">
        <w:rPr>
          <w:rFonts w:hAnsi="ＭＳ 明朝" w:hint="eastAsia"/>
          <w:szCs w:val="24"/>
        </w:rPr>
        <w:t>で</w:t>
      </w:r>
      <w:r w:rsidR="00EE6EA7">
        <w:rPr>
          <w:rFonts w:hAnsi="ＭＳ 明朝" w:hint="eastAsia"/>
          <w:szCs w:val="24"/>
        </w:rPr>
        <w:t>553,700</w:t>
      </w:r>
      <w:r w:rsidR="00720F37" w:rsidRPr="00A47C89">
        <w:rPr>
          <w:rFonts w:hAnsi="ＭＳ 明朝" w:hint="eastAsia"/>
          <w:szCs w:val="24"/>
        </w:rPr>
        <w:t>千</w:t>
      </w:r>
      <w:r w:rsidR="00E63A71" w:rsidRPr="00A47C89">
        <w:rPr>
          <w:rFonts w:hAnsi="ＭＳ 明朝" w:hint="eastAsia"/>
          <w:szCs w:val="24"/>
        </w:rPr>
        <w:t>円（</w:t>
      </w:r>
      <w:r w:rsidR="00EE6EA7">
        <w:rPr>
          <w:rFonts w:hAnsi="ＭＳ 明朝" w:hint="eastAsia"/>
          <w:szCs w:val="24"/>
        </w:rPr>
        <w:t>△50.2</w:t>
      </w:r>
      <w:r w:rsidR="00E63A71" w:rsidRPr="00A47C89">
        <w:rPr>
          <w:rFonts w:hAnsi="ＭＳ 明朝" w:hint="eastAsia"/>
          <w:szCs w:val="24"/>
        </w:rPr>
        <w:t>％）、</w:t>
      </w:r>
      <w:r w:rsidR="00EE6EA7">
        <w:rPr>
          <w:rFonts w:hAnsi="ＭＳ 明朝" w:hint="eastAsia"/>
          <w:szCs w:val="24"/>
        </w:rPr>
        <w:t>臨時財政対策債</w:t>
      </w:r>
      <w:r w:rsidR="00E63A71" w:rsidRPr="00A47C89">
        <w:rPr>
          <w:rFonts w:hAnsi="ＭＳ 明朝" w:hint="eastAsia"/>
          <w:szCs w:val="24"/>
        </w:rPr>
        <w:t>で</w:t>
      </w:r>
      <w:r w:rsidR="00EE6EA7">
        <w:rPr>
          <w:rFonts w:hAnsi="ＭＳ 明朝" w:hint="eastAsia"/>
          <w:szCs w:val="24"/>
        </w:rPr>
        <w:t>222,200</w:t>
      </w:r>
      <w:r w:rsidR="00720F37" w:rsidRPr="00A47C89">
        <w:rPr>
          <w:rFonts w:hAnsi="ＭＳ 明朝" w:hint="eastAsia"/>
          <w:szCs w:val="24"/>
        </w:rPr>
        <w:t>千円(</w:t>
      </w:r>
      <w:r w:rsidR="00EE6EA7">
        <w:rPr>
          <w:rFonts w:hAnsi="ＭＳ 明朝" w:hint="eastAsia"/>
          <w:szCs w:val="24"/>
        </w:rPr>
        <w:t>△9.7％</w:t>
      </w:r>
      <w:r w:rsidR="00720F37" w:rsidRPr="00A47C89">
        <w:rPr>
          <w:rFonts w:hAnsi="ＭＳ 明朝" w:hint="eastAsia"/>
          <w:szCs w:val="24"/>
        </w:rPr>
        <w:t>)</w:t>
      </w:r>
      <w:r w:rsidR="00EE6EA7">
        <w:rPr>
          <w:rFonts w:hAnsi="ＭＳ 明朝" w:hint="eastAsia"/>
          <w:szCs w:val="24"/>
        </w:rPr>
        <w:t>減少</w:t>
      </w:r>
      <w:r w:rsidR="00E63A71" w:rsidRPr="00A47C89">
        <w:rPr>
          <w:rFonts w:hAnsi="ＭＳ 明朝" w:hint="eastAsia"/>
          <w:szCs w:val="24"/>
        </w:rPr>
        <w:t>したものの、</w:t>
      </w:r>
      <w:r w:rsidR="00EE6EA7">
        <w:rPr>
          <w:rFonts w:hAnsi="ＭＳ 明朝" w:hint="eastAsia"/>
          <w:szCs w:val="24"/>
        </w:rPr>
        <w:t>商工債</w:t>
      </w:r>
      <w:r w:rsidR="007E7789" w:rsidRPr="00FB511C">
        <w:rPr>
          <w:rFonts w:hAnsi="ＭＳ 明朝" w:hint="eastAsia"/>
          <w:szCs w:val="24"/>
        </w:rPr>
        <w:t>で</w:t>
      </w:r>
      <w:r w:rsidR="00EE6EA7">
        <w:rPr>
          <w:rFonts w:hAnsi="ＭＳ 明朝" w:hint="eastAsia"/>
          <w:szCs w:val="24"/>
        </w:rPr>
        <w:t>561,000</w:t>
      </w:r>
      <w:r w:rsidR="00394771" w:rsidRPr="00FB511C">
        <w:rPr>
          <w:rFonts w:hAnsi="ＭＳ 明朝" w:hint="eastAsia"/>
          <w:szCs w:val="24"/>
        </w:rPr>
        <w:t>千円</w:t>
      </w:r>
      <w:r w:rsidR="00A47C89" w:rsidRPr="00FB511C">
        <w:rPr>
          <w:rFonts w:hAnsi="ＭＳ 明朝" w:hint="eastAsia"/>
          <w:szCs w:val="24"/>
        </w:rPr>
        <w:t>（</w:t>
      </w:r>
      <w:r w:rsidR="00EE6EA7">
        <w:rPr>
          <w:rFonts w:hAnsi="ＭＳ 明朝" w:hint="eastAsia"/>
          <w:szCs w:val="24"/>
        </w:rPr>
        <w:t>6,375.0</w:t>
      </w:r>
      <w:r w:rsidR="00742D68" w:rsidRPr="00FB511C">
        <w:rPr>
          <w:rFonts w:hAnsi="ＭＳ 明朝" w:hint="eastAsia"/>
          <w:szCs w:val="24"/>
        </w:rPr>
        <w:t>％</w:t>
      </w:r>
      <w:r w:rsidR="00394771" w:rsidRPr="00FB511C">
        <w:rPr>
          <w:rFonts w:hAnsi="ＭＳ 明朝"/>
          <w:szCs w:val="24"/>
        </w:rPr>
        <w:t>）</w:t>
      </w:r>
      <w:r w:rsidR="00A47C89" w:rsidRPr="00FB511C">
        <w:rPr>
          <w:rFonts w:hAnsi="ＭＳ 明朝" w:hint="eastAsia"/>
          <w:szCs w:val="24"/>
        </w:rPr>
        <w:t>、</w:t>
      </w:r>
      <w:r w:rsidR="00F15549">
        <w:rPr>
          <w:rFonts w:hAnsi="ＭＳ 明朝" w:hint="eastAsia"/>
          <w:szCs w:val="24"/>
        </w:rPr>
        <w:t>減収補てん債</w:t>
      </w:r>
      <w:r w:rsidR="00A47C89" w:rsidRPr="00FB511C">
        <w:rPr>
          <w:rFonts w:hAnsi="ＭＳ 明朝" w:hint="eastAsia"/>
          <w:szCs w:val="24"/>
        </w:rPr>
        <w:t>で</w:t>
      </w:r>
      <w:r w:rsidR="00F15549">
        <w:rPr>
          <w:rFonts w:hAnsi="ＭＳ 明朝" w:hint="eastAsia"/>
          <w:szCs w:val="24"/>
        </w:rPr>
        <w:t>233,600</w:t>
      </w:r>
      <w:r w:rsidR="00A47C89" w:rsidRPr="00FB511C">
        <w:rPr>
          <w:rFonts w:hAnsi="ＭＳ 明朝" w:hint="eastAsia"/>
          <w:szCs w:val="24"/>
        </w:rPr>
        <w:t>千円（</w:t>
      </w:r>
      <w:r w:rsidR="00F15549">
        <w:rPr>
          <w:rFonts w:hAnsi="ＭＳ 明朝" w:hint="eastAsia"/>
          <w:szCs w:val="24"/>
        </w:rPr>
        <w:t>皆増</w:t>
      </w:r>
      <w:r w:rsidR="00A47C89" w:rsidRPr="00FB511C">
        <w:rPr>
          <w:rFonts w:hAnsi="ＭＳ 明朝" w:hint="eastAsia"/>
          <w:szCs w:val="24"/>
        </w:rPr>
        <w:t>）</w:t>
      </w:r>
      <w:r w:rsidR="00EE6EA7">
        <w:rPr>
          <w:rFonts w:hAnsi="ＭＳ 明朝" w:hint="eastAsia"/>
          <w:szCs w:val="24"/>
        </w:rPr>
        <w:t>増加</w:t>
      </w:r>
      <w:r w:rsidR="00EF3DEF" w:rsidRPr="00FB511C">
        <w:rPr>
          <w:rFonts w:hAnsi="ＭＳ 明朝" w:hint="eastAsia"/>
          <w:szCs w:val="24"/>
        </w:rPr>
        <w:t>したこと</w:t>
      </w:r>
      <w:r w:rsidR="00EF3DEF" w:rsidRPr="00A47C89">
        <w:rPr>
          <w:rFonts w:hAnsi="ＭＳ 明朝" w:hint="eastAsia"/>
          <w:szCs w:val="24"/>
        </w:rPr>
        <w:t>によるものである</w:t>
      </w:r>
      <w:r w:rsidR="00C04825" w:rsidRPr="00A47C89">
        <w:rPr>
          <w:rFonts w:hAnsi="ＭＳ 明朝" w:hint="eastAsia"/>
          <w:szCs w:val="24"/>
        </w:rPr>
        <w:t>。</w:t>
      </w:r>
    </w:p>
    <w:p w:rsidR="009136B9" w:rsidRPr="002574A7" w:rsidRDefault="009136B9" w:rsidP="00A47C89">
      <w:pPr>
        <w:kinsoku w:val="0"/>
        <w:overflowPunct w:val="0"/>
        <w:snapToGrid w:val="0"/>
        <w:spacing w:line="240" w:lineRule="auto"/>
        <w:ind w:leftChars="300" w:left="720" w:firstLineChars="100" w:firstLine="240"/>
        <w:rPr>
          <w:rFonts w:hAnsi="ＭＳ 明朝"/>
          <w:szCs w:val="24"/>
        </w:rPr>
      </w:pPr>
      <w:r w:rsidRPr="00B43BE4">
        <w:rPr>
          <w:rFonts w:hAnsi="ＭＳ 明朝" w:hint="eastAsia"/>
          <w:szCs w:val="24"/>
        </w:rPr>
        <w:t>また、当年度末現在高は</w:t>
      </w:r>
      <w:r w:rsidR="00EE6EA7">
        <w:rPr>
          <w:rFonts w:hAnsi="ＭＳ 明朝" w:hint="eastAsia"/>
          <w:szCs w:val="24"/>
        </w:rPr>
        <w:t>106,324,143千</w:t>
      </w:r>
      <w:r w:rsidRPr="00B43BE4">
        <w:rPr>
          <w:rFonts w:hAnsi="ＭＳ 明朝" w:hint="eastAsia"/>
          <w:szCs w:val="24"/>
        </w:rPr>
        <w:t>円で、前年度末現在高に比べ</w:t>
      </w:r>
      <w:r w:rsidR="00EE6EA7">
        <w:rPr>
          <w:rFonts w:hAnsi="ＭＳ 明朝" w:hint="eastAsia"/>
          <w:szCs w:val="24"/>
        </w:rPr>
        <w:t>2,550,753</w:t>
      </w:r>
      <w:r w:rsidR="001252B7">
        <w:rPr>
          <w:rFonts w:hAnsi="ＭＳ 明朝" w:hint="eastAsia"/>
          <w:szCs w:val="24"/>
        </w:rPr>
        <w:t>千</w:t>
      </w:r>
      <w:r w:rsidR="002574A7" w:rsidRPr="00B43BE4">
        <w:rPr>
          <w:rFonts w:hAnsi="ＭＳ 明朝" w:hint="eastAsia"/>
          <w:szCs w:val="24"/>
        </w:rPr>
        <w:t>円(</w:t>
      </w:r>
      <w:r w:rsidR="00F72191" w:rsidRPr="00B43BE4">
        <w:rPr>
          <w:rFonts w:hAnsi="ＭＳ 明朝" w:hint="eastAsia"/>
          <w:szCs w:val="24"/>
        </w:rPr>
        <w:t>△</w:t>
      </w:r>
      <w:r w:rsidR="00EE6EA7">
        <w:rPr>
          <w:rFonts w:hAnsi="ＭＳ 明朝" w:hint="eastAsia"/>
          <w:szCs w:val="24"/>
        </w:rPr>
        <w:t>2.3</w:t>
      </w:r>
      <w:r w:rsidRPr="00B43BE4">
        <w:rPr>
          <w:rFonts w:hAnsi="ＭＳ 明朝" w:hint="eastAsia"/>
          <w:szCs w:val="24"/>
        </w:rPr>
        <w:t>％</w:t>
      </w:r>
      <w:r w:rsidR="002574A7" w:rsidRPr="00B43BE4">
        <w:rPr>
          <w:rFonts w:hAnsi="ＭＳ 明朝" w:hint="eastAsia"/>
          <w:szCs w:val="24"/>
        </w:rPr>
        <w:t>)</w:t>
      </w:r>
      <w:r w:rsidR="00F72191" w:rsidRPr="00B43BE4">
        <w:rPr>
          <w:rFonts w:hAnsi="ＭＳ 明朝" w:hint="eastAsia"/>
          <w:szCs w:val="24"/>
        </w:rPr>
        <w:t>減少</w:t>
      </w:r>
      <w:r w:rsidRPr="00B43BE4">
        <w:rPr>
          <w:rFonts w:hAnsi="ＭＳ 明朝" w:hint="eastAsia"/>
          <w:szCs w:val="24"/>
        </w:rPr>
        <w:t>している。</w:t>
      </w:r>
    </w:p>
    <w:p w:rsidR="009136B9" w:rsidRPr="002574A7" w:rsidRDefault="009136B9" w:rsidP="009136B9">
      <w:pPr>
        <w:spacing w:line="240" w:lineRule="auto"/>
        <w:rPr>
          <w:rFonts w:hAnsi="ＭＳ 明朝"/>
          <w:szCs w:val="24"/>
        </w:rPr>
      </w:pPr>
    </w:p>
    <w:p w:rsidR="009136B9" w:rsidRDefault="009136B9" w:rsidP="00986458">
      <w:pPr>
        <w:spacing w:line="240" w:lineRule="auto"/>
        <w:rPr>
          <w:rFonts w:hAnsi="ＭＳ 明朝"/>
          <w:szCs w:val="24"/>
        </w:rPr>
      </w:pPr>
    </w:p>
    <w:p w:rsidR="009136B9" w:rsidRPr="00E6241F" w:rsidRDefault="00E6241F" w:rsidP="00986458">
      <w:pPr>
        <w:spacing w:line="240" w:lineRule="auto"/>
        <w:rPr>
          <w:rFonts w:ascii="ＭＳ ゴシック" w:eastAsia="ＭＳ ゴシック" w:hAnsi="ＭＳ ゴシック"/>
          <w:szCs w:val="24"/>
        </w:rPr>
      </w:pPr>
      <w:r>
        <w:rPr>
          <w:rFonts w:hAnsi="ＭＳ 明朝" w:hint="eastAsia"/>
          <w:szCs w:val="24"/>
        </w:rPr>
        <w:t xml:space="preserve">　</w:t>
      </w:r>
      <w:r w:rsidRPr="00E6241F">
        <w:rPr>
          <w:rFonts w:ascii="ＭＳ ゴシック" w:eastAsia="ＭＳ ゴシック" w:hAnsi="ＭＳ ゴシック" w:hint="eastAsia"/>
          <w:szCs w:val="24"/>
        </w:rPr>
        <w:t>市債発行状況</w:t>
      </w:r>
    </w:p>
    <w:p w:rsidR="009136B9" w:rsidRDefault="007A16C9" w:rsidP="007A16C9">
      <w:pPr>
        <w:wordWrap w:val="0"/>
        <w:spacing w:line="240" w:lineRule="auto"/>
        <w:ind w:firstLineChars="3100" w:firstLine="7440"/>
        <w:jc w:val="right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 xml:space="preserve">   </w:t>
      </w:r>
      <w:r w:rsidR="00E6241F">
        <w:rPr>
          <w:rFonts w:hAnsi="ＭＳ 明朝" w:hint="eastAsia"/>
          <w:szCs w:val="24"/>
        </w:rPr>
        <w:t>（単位：千円・％）</w:t>
      </w:r>
    </w:p>
    <w:p w:rsidR="00101F3A" w:rsidRDefault="00830BF3" w:rsidP="00E850A2">
      <w:pPr>
        <w:spacing w:line="240" w:lineRule="auto"/>
        <w:rPr>
          <w:rFonts w:hAnsi="ＭＳ 明朝"/>
          <w:szCs w:val="24"/>
        </w:rPr>
      </w:pPr>
      <w:r w:rsidRPr="00AE1072">
        <w:rPr>
          <w:rFonts w:hAnsi="ＭＳ 明朝"/>
          <w:szCs w:val="24"/>
        </w:rPr>
        <w:pict>
          <v:shape id="_x0000_i1049" type="#_x0000_t75" style="width:482pt;height:468pt">
            <v:imagedata r:id="rId16" o:title=""/>
          </v:shape>
        </w:pict>
      </w:r>
    </w:p>
    <w:p w:rsidR="00830BF3" w:rsidRDefault="00830BF3" w:rsidP="00FC45A0">
      <w:pPr>
        <w:spacing w:line="240" w:lineRule="auto"/>
        <w:ind w:firstLineChars="100" w:firstLine="240"/>
        <w:rPr>
          <w:rFonts w:ascii="ＭＳ ゴシック" w:eastAsia="ＭＳ ゴシック" w:hAnsi="ＭＳ ゴシック"/>
          <w:szCs w:val="24"/>
        </w:rPr>
      </w:pPr>
    </w:p>
    <w:p w:rsidR="00251B0A" w:rsidRPr="00251B0A" w:rsidRDefault="00251B0A" w:rsidP="00FC45A0">
      <w:pPr>
        <w:spacing w:line="240" w:lineRule="auto"/>
        <w:ind w:firstLineChars="100" w:firstLine="240"/>
        <w:rPr>
          <w:rFonts w:ascii="ＭＳ ゴシック" w:eastAsia="ＭＳ ゴシック" w:hAnsi="ＭＳ ゴシック"/>
          <w:szCs w:val="24"/>
        </w:rPr>
      </w:pPr>
      <w:r w:rsidRPr="0054586A">
        <w:rPr>
          <w:rFonts w:ascii="ＭＳ ゴシック" w:eastAsia="ＭＳ ゴシック" w:hAnsi="ＭＳ ゴシック" w:hint="eastAsia"/>
          <w:szCs w:val="24"/>
        </w:rPr>
        <w:lastRenderedPageBreak/>
        <w:t>市</w:t>
      </w:r>
      <w:r w:rsidRPr="00787479">
        <w:rPr>
          <w:rFonts w:ascii="ＭＳ ゴシック" w:eastAsia="ＭＳ ゴシック" w:hAnsi="ＭＳ ゴシック" w:hint="eastAsia"/>
          <w:szCs w:val="24"/>
        </w:rPr>
        <w:t>債現在高の状況</w:t>
      </w:r>
    </w:p>
    <w:p w:rsidR="00251B0A" w:rsidRDefault="009C490B" w:rsidP="009C490B">
      <w:pPr>
        <w:wordWrap w:val="0"/>
        <w:spacing w:line="240" w:lineRule="auto"/>
        <w:ind w:firstLineChars="3100" w:firstLine="7440"/>
        <w:jc w:val="right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 xml:space="preserve">   </w:t>
      </w:r>
      <w:r w:rsidR="00251B0A">
        <w:rPr>
          <w:rFonts w:hAnsi="ＭＳ 明朝" w:hint="eastAsia"/>
          <w:szCs w:val="24"/>
        </w:rPr>
        <w:t>（単位：千円・％）</w:t>
      </w:r>
    </w:p>
    <w:p w:rsidR="00251B0A" w:rsidRDefault="00830BF3" w:rsidP="00986458">
      <w:pPr>
        <w:spacing w:line="240" w:lineRule="auto"/>
        <w:rPr>
          <w:rFonts w:hAnsi="ＭＳ 明朝"/>
          <w:szCs w:val="24"/>
        </w:rPr>
      </w:pPr>
      <w:r w:rsidRPr="00AE1072">
        <w:rPr>
          <w:rFonts w:hAnsi="ＭＳ 明朝"/>
          <w:szCs w:val="24"/>
        </w:rPr>
        <w:pict>
          <v:shape id="_x0000_i1057" type="#_x0000_t75" style="width:481.5pt;height:2in">
            <v:imagedata r:id="rId17" o:title=""/>
          </v:shape>
        </w:pict>
      </w:r>
    </w:p>
    <w:p w:rsidR="00830BF3" w:rsidRDefault="00830BF3" w:rsidP="00B368BB">
      <w:pPr>
        <w:spacing w:line="240" w:lineRule="auto"/>
        <w:ind w:firstLineChars="100" w:firstLine="240"/>
        <w:rPr>
          <w:rFonts w:asciiTheme="majorEastAsia" w:eastAsiaTheme="majorEastAsia" w:hAnsiTheme="majorEastAsia"/>
          <w:szCs w:val="24"/>
        </w:rPr>
      </w:pPr>
    </w:p>
    <w:p w:rsidR="00251B0A" w:rsidRDefault="00B368BB" w:rsidP="00B368BB">
      <w:pPr>
        <w:spacing w:line="240" w:lineRule="auto"/>
        <w:ind w:firstLineChars="100" w:firstLine="240"/>
        <w:rPr>
          <w:rFonts w:hAnsi="ＭＳ 明朝"/>
          <w:szCs w:val="24"/>
        </w:rPr>
      </w:pPr>
      <w:r w:rsidRPr="00CE3E44">
        <w:rPr>
          <w:rFonts w:asciiTheme="majorEastAsia" w:eastAsiaTheme="majorEastAsia" w:hAnsiTheme="majorEastAsia" w:hint="eastAsia"/>
          <w:szCs w:val="24"/>
        </w:rPr>
        <w:t>市債（発行額）、償還金（元金償還額）及び未償還金残高の推移</w:t>
      </w:r>
    </w:p>
    <w:p w:rsidR="00251B0A" w:rsidRDefault="00B368BB" w:rsidP="00490EC7">
      <w:pPr>
        <w:spacing w:line="240" w:lineRule="auto"/>
        <w:ind w:firstLineChars="3450" w:firstLine="8280"/>
        <w:rPr>
          <w:rFonts w:hAnsi="ＭＳ 明朝"/>
          <w:szCs w:val="24"/>
        </w:rPr>
      </w:pPr>
      <w:r w:rsidRPr="00754461">
        <w:rPr>
          <w:rFonts w:hAnsi="ＭＳ 明朝" w:hint="eastAsia"/>
          <w:szCs w:val="24"/>
        </w:rPr>
        <w:t>（単位：千円）</w:t>
      </w:r>
    </w:p>
    <w:p w:rsidR="00BD1340" w:rsidRDefault="00353D2C" w:rsidP="00986458">
      <w:pPr>
        <w:spacing w:line="240" w:lineRule="auto"/>
        <w:rPr>
          <w:rFonts w:hAnsi="ＭＳ 明朝"/>
          <w:szCs w:val="24"/>
        </w:rPr>
      </w:pPr>
      <w:r>
        <w:rPr>
          <w:noProof/>
          <w:sz w:val="22"/>
        </w:rPr>
        <w:drawing>
          <wp:inline distT="0" distB="0" distL="0" distR="0">
            <wp:extent cx="6189345" cy="4376435"/>
            <wp:effectExtent l="0" t="0" r="0" b="0"/>
            <wp:docPr id="11" name="オブジェクト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sectPr w:rsidR="00BD1340" w:rsidSect="005517D5">
      <w:footerReference w:type="default" r:id="rId19"/>
      <w:pgSz w:w="11906" w:h="16838" w:code="9"/>
      <w:pgMar w:top="1134" w:right="1134" w:bottom="1134" w:left="1134" w:header="737" w:footer="397" w:gutter="0"/>
      <w:pgNumType w:fmt="numberInDash" w:start="15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0D55" w:rsidRDefault="00C60D55" w:rsidP="00255786">
      <w:pPr>
        <w:spacing w:line="240" w:lineRule="auto"/>
      </w:pPr>
      <w:r>
        <w:separator/>
      </w:r>
    </w:p>
  </w:endnote>
  <w:endnote w:type="continuationSeparator" w:id="0">
    <w:p w:rsidR="00C60D55" w:rsidRDefault="00C60D55" w:rsidP="002557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95634687"/>
      <w:docPartObj>
        <w:docPartGallery w:val="Page Numbers (Bottom of Page)"/>
        <w:docPartUnique/>
      </w:docPartObj>
    </w:sdtPr>
    <w:sdtContent>
      <w:p w:rsidR="001722E4" w:rsidRDefault="001722E4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1722E4">
          <w:rPr>
            <w:noProof/>
            <w:lang w:val="ja-JP"/>
          </w:rPr>
          <w:t>-</w:t>
        </w:r>
        <w:r>
          <w:rPr>
            <w:noProof/>
          </w:rPr>
          <w:t xml:space="preserve"> 15 -</w:t>
        </w:r>
        <w:r>
          <w:fldChar w:fldCharType="end"/>
        </w:r>
      </w:p>
    </w:sdtContent>
  </w:sdt>
  <w:p w:rsidR="001722E4" w:rsidRDefault="001722E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0D55" w:rsidRDefault="00C60D55" w:rsidP="00255786">
      <w:pPr>
        <w:spacing w:line="240" w:lineRule="auto"/>
      </w:pPr>
      <w:r>
        <w:separator/>
      </w:r>
    </w:p>
  </w:footnote>
  <w:footnote w:type="continuationSeparator" w:id="0">
    <w:p w:rsidR="00C60D55" w:rsidRDefault="00C60D55" w:rsidP="0025578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DE451B"/>
    <w:multiLevelType w:val="hybridMultilevel"/>
    <w:tmpl w:val="C9A08AC0"/>
    <w:lvl w:ilvl="0" w:tplc="F47E42D8">
      <w:start w:val="1"/>
      <w:numFmt w:val="decimalEnclosedParen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65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D4B83"/>
    <w:rsid w:val="000052C5"/>
    <w:rsid w:val="00007353"/>
    <w:rsid w:val="00007C81"/>
    <w:rsid w:val="0001252E"/>
    <w:rsid w:val="00030F1C"/>
    <w:rsid w:val="00032586"/>
    <w:rsid w:val="0003487F"/>
    <w:rsid w:val="0003565F"/>
    <w:rsid w:val="000361B0"/>
    <w:rsid w:val="00040D88"/>
    <w:rsid w:val="0004342C"/>
    <w:rsid w:val="00045A5C"/>
    <w:rsid w:val="00050BFC"/>
    <w:rsid w:val="0005314C"/>
    <w:rsid w:val="000538B7"/>
    <w:rsid w:val="00055D73"/>
    <w:rsid w:val="00061BED"/>
    <w:rsid w:val="00061F24"/>
    <w:rsid w:val="000620FC"/>
    <w:rsid w:val="000624A7"/>
    <w:rsid w:val="000647C4"/>
    <w:rsid w:val="0007015F"/>
    <w:rsid w:val="0007065B"/>
    <w:rsid w:val="00070684"/>
    <w:rsid w:val="0007101A"/>
    <w:rsid w:val="000722FC"/>
    <w:rsid w:val="00072FC8"/>
    <w:rsid w:val="00080DC5"/>
    <w:rsid w:val="00080F54"/>
    <w:rsid w:val="000827D2"/>
    <w:rsid w:val="000839D1"/>
    <w:rsid w:val="00086281"/>
    <w:rsid w:val="00090C7C"/>
    <w:rsid w:val="000940D1"/>
    <w:rsid w:val="00094165"/>
    <w:rsid w:val="00094870"/>
    <w:rsid w:val="000958A8"/>
    <w:rsid w:val="00095FFB"/>
    <w:rsid w:val="000A3482"/>
    <w:rsid w:val="000A48C1"/>
    <w:rsid w:val="000B0303"/>
    <w:rsid w:val="000B044B"/>
    <w:rsid w:val="000B690B"/>
    <w:rsid w:val="000B6AC4"/>
    <w:rsid w:val="000D1FB3"/>
    <w:rsid w:val="000D3266"/>
    <w:rsid w:val="000D3C58"/>
    <w:rsid w:val="000D4FF8"/>
    <w:rsid w:val="000D501B"/>
    <w:rsid w:val="000E1792"/>
    <w:rsid w:val="000F330D"/>
    <w:rsid w:val="001011E8"/>
    <w:rsid w:val="00101E7D"/>
    <w:rsid w:val="00101F3A"/>
    <w:rsid w:val="001064FB"/>
    <w:rsid w:val="00106BD6"/>
    <w:rsid w:val="00106C16"/>
    <w:rsid w:val="00106CD2"/>
    <w:rsid w:val="00107F19"/>
    <w:rsid w:val="00110623"/>
    <w:rsid w:val="001109CA"/>
    <w:rsid w:val="00114CF4"/>
    <w:rsid w:val="00115DBB"/>
    <w:rsid w:val="00116C8B"/>
    <w:rsid w:val="00121D33"/>
    <w:rsid w:val="00122312"/>
    <w:rsid w:val="00122438"/>
    <w:rsid w:val="001243DA"/>
    <w:rsid w:val="00124EE3"/>
    <w:rsid w:val="001252B7"/>
    <w:rsid w:val="00126FE1"/>
    <w:rsid w:val="00130566"/>
    <w:rsid w:val="0013079E"/>
    <w:rsid w:val="00133B37"/>
    <w:rsid w:val="00143B65"/>
    <w:rsid w:val="00143D29"/>
    <w:rsid w:val="001447A8"/>
    <w:rsid w:val="001454BF"/>
    <w:rsid w:val="001506EA"/>
    <w:rsid w:val="00154F0D"/>
    <w:rsid w:val="00155D2F"/>
    <w:rsid w:val="001604B8"/>
    <w:rsid w:val="00160DFA"/>
    <w:rsid w:val="001623CD"/>
    <w:rsid w:val="00163259"/>
    <w:rsid w:val="00164D01"/>
    <w:rsid w:val="001722E4"/>
    <w:rsid w:val="00172F6D"/>
    <w:rsid w:val="00184D20"/>
    <w:rsid w:val="00185EA1"/>
    <w:rsid w:val="00190C54"/>
    <w:rsid w:val="00192B26"/>
    <w:rsid w:val="001939EE"/>
    <w:rsid w:val="00196809"/>
    <w:rsid w:val="001A0415"/>
    <w:rsid w:val="001A3A60"/>
    <w:rsid w:val="001A41AC"/>
    <w:rsid w:val="001A46EF"/>
    <w:rsid w:val="001A5D1F"/>
    <w:rsid w:val="001A5D53"/>
    <w:rsid w:val="001A74E1"/>
    <w:rsid w:val="001B071B"/>
    <w:rsid w:val="001B1618"/>
    <w:rsid w:val="001C20F2"/>
    <w:rsid w:val="001C2300"/>
    <w:rsid w:val="001C6701"/>
    <w:rsid w:val="001C6E9D"/>
    <w:rsid w:val="001C753B"/>
    <w:rsid w:val="001D19FC"/>
    <w:rsid w:val="001D2024"/>
    <w:rsid w:val="001E7CE8"/>
    <w:rsid w:val="001F0CC2"/>
    <w:rsid w:val="001F1FA4"/>
    <w:rsid w:val="001F5593"/>
    <w:rsid w:val="001F6966"/>
    <w:rsid w:val="00204370"/>
    <w:rsid w:val="002145C3"/>
    <w:rsid w:val="00215132"/>
    <w:rsid w:val="002173A4"/>
    <w:rsid w:val="00217F7F"/>
    <w:rsid w:val="00221C14"/>
    <w:rsid w:val="00225EED"/>
    <w:rsid w:val="002278D6"/>
    <w:rsid w:val="00234A8A"/>
    <w:rsid w:val="00235B76"/>
    <w:rsid w:val="002407FD"/>
    <w:rsid w:val="00243119"/>
    <w:rsid w:val="002472EC"/>
    <w:rsid w:val="00251B0A"/>
    <w:rsid w:val="00255786"/>
    <w:rsid w:val="00255BF3"/>
    <w:rsid w:val="002569D4"/>
    <w:rsid w:val="00257421"/>
    <w:rsid w:val="002574A7"/>
    <w:rsid w:val="002602D4"/>
    <w:rsid w:val="002626DC"/>
    <w:rsid w:val="002639F4"/>
    <w:rsid w:val="00265A27"/>
    <w:rsid w:val="00265F31"/>
    <w:rsid w:val="002664D2"/>
    <w:rsid w:val="00271180"/>
    <w:rsid w:val="00273F01"/>
    <w:rsid w:val="00275175"/>
    <w:rsid w:val="002773F7"/>
    <w:rsid w:val="00281BDA"/>
    <w:rsid w:val="0028289D"/>
    <w:rsid w:val="00284931"/>
    <w:rsid w:val="00285069"/>
    <w:rsid w:val="00286200"/>
    <w:rsid w:val="002874D0"/>
    <w:rsid w:val="00295296"/>
    <w:rsid w:val="002953B6"/>
    <w:rsid w:val="002959FA"/>
    <w:rsid w:val="00295D50"/>
    <w:rsid w:val="00296E3F"/>
    <w:rsid w:val="002979F2"/>
    <w:rsid w:val="002A11D8"/>
    <w:rsid w:val="002A541E"/>
    <w:rsid w:val="002B2DFE"/>
    <w:rsid w:val="002B72B6"/>
    <w:rsid w:val="002B753D"/>
    <w:rsid w:val="002C0CAB"/>
    <w:rsid w:val="002C0EF2"/>
    <w:rsid w:val="002C5BAC"/>
    <w:rsid w:val="002D0390"/>
    <w:rsid w:val="002D15FF"/>
    <w:rsid w:val="002D6903"/>
    <w:rsid w:val="002D7490"/>
    <w:rsid w:val="002D76D1"/>
    <w:rsid w:val="002E0E10"/>
    <w:rsid w:val="002E30E0"/>
    <w:rsid w:val="002F0D48"/>
    <w:rsid w:val="002F2B97"/>
    <w:rsid w:val="002F4101"/>
    <w:rsid w:val="002F5AED"/>
    <w:rsid w:val="0030245B"/>
    <w:rsid w:val="00305C20"/>
    <w:rsid w:val="003066DC"/>
    <w:rsid w:val="00311D03"/>
    <w:rsid w:val="003133A8"/>
    <w:rsid w:val="00315AE9"/>
    <w:rsid w:val="003179A5"/>
    <w:rsid w:val="00317BC7"/>
    <w:rsid w:val="0032017D"/>
    <w:rsid w:val="0032119B"/>
    <w:rsid w:val="003213F8"/>
    <w:rsid w:val="00326EC7"/>
    <w:rsid w:val="003309ED"/>
    <w:rsid w:val="00331D60"/>
    <w:rsid w:val="003363CB"/>
    <w:rsid w:val="00336A87"/>
    <w:rsid w:val="0033728C"/>
    <w:rsid w:val="00341F78"/>
    <w:rsid w:val="00342469"/>
    <w:rsid w:val="003425B0"/>
    <w:rsid w:val="00345DBA"/>
    <w:rsid w:val="00347D95"/>
    <w:rsid w:val="00350794"/>
    <w:rsid w:val="003508E0"/>
    <w:rsid w:val="0035169E"/>
    <w:rsid w:val="00351DD7"/>
    <w:rsid w:val="00353D2C"/>
    <w:rsid w:val="00354100"/>
    <w:rsid w:val="00357482"/>
    <w:rsid w:val="0036001D"/>
    <w:rsid w:val="00364195"/>
    <w:rsid w:val="0036689C"/>
    <w:rsid w:val="003814A5"/>
    <w:rsid w:val="0038782D"/>
    <w:rsid w:val="0039348F"/>
    <w:rsid w:val="003941EF"/>
    <w:rsid w:val="00394771"/>
    <w:rsid w:val="00397090"/>
    <w:rsid w:val="00397AF8"/>
    <w:rsid w:val="003A3BC0"/>
    <w:rsid w:val="003A78A5"/>
    <w:rsid w:val="003B2A9A"/>
    <w:rsid w:val="003B2D9B"/>
    <w:rsid w:val="003B41C2"/>
    <w:rsid w:val="003B54E3"/>
    <w:rsid w:val="003B5B92"/>
    <w:rsid w:val="003B7295"/>
    <w:rsid w:val="003B7A37"/>
    <w:rsid w:val="003C1B22"/>
    <w:rsid w:val="003C313C"/>
    <w:rsid w:val="003C5DAD"/>
    <w:rsid w:val="003C5F70"/>
    <w:rsid w:val="003C6E25"/>
    <w:rsid w:val="003C70D8"/>
    <w:rsid w:val="003D24E3"/>
    <w:rsid w:val="003D4360"/>
    <w:rsid w:val="003D7FF4"/>
    <w:rsid w:val="003E1785"/>
    <w:rsid w:val="003E1B30"/>
    <w:rsid w:val="003E3ABB"/>
    <w:rsid w:val="003E767B"/>
    <w:rsid w:val="003E7FE5"/>
    <w:rsid w:val="003F089E"/>
    <w:rsid w:val="003F4263"/>
    <w:rsid w:val="00400C14"/>
    <w:rsid w:val="00407503"/>
    <w:rsid w:val="004101BD"/>
    <w:rsid w:val="00410F87"/>
    <w:rsid w:val="00411806"/>
    <w:rsid w:val="00413A29"/>
    <w:rsid w:val="00417A82"/>
    <w:rsid w:val="00417AF9"/>
    <w:rsid w:val="0042159D"/>
    <w:rsid w:val="0042421A"/>
    <w:rsid w:val="00425DCD"/>
    <w:rsid w:val="004266A9"/>
    <w:rsid w:val="0042716E"/>
    <w:rsid w:val="00427CAB"/>
    <w:rsid w:val="00430062"/>
    <w:rsid w:val="00443C12"/>
    <w:rsid w:val="00445AF2"/>
    <w:rsid w:val="00453244"/>
    <w:rsid w:val="00455EE4"/>
    <w:rsid w:val="00460048"/>
    <w:rsid w:val="00460A13"/>
    <w:rsid w:val="00463978"/>
    <w:rsid w:val="0046547A"/>
    <w:rsid w:val="00465E37"/>
    <w:rsid w:val="00467CE8"/>
    <w:rsid w:val="0047129B"/>
    <w:rsid w:val="00471F0F"/>
    <w:rsid w:val="00472923"/>
    <w:rsid w:val="00475EBD"/>
    <w:rsid w:val="004807D7"/>
    <w:rsid w:val="004815C0"/>
    <w:rsid w:val="00481B54"/>
    <w:rsid w:val="004835C7"/>
    <w:rsid w:val="00485DE2"/>
    <w:rsid w:val="00485FEB"/>
    <w:rsid w:val="00487836"/>
    <w:rsid w:val="00487AB8"/>
    <w:rsid w:val="00490EC7"/>
    <w:rsid w:val="00491356"/>
    <w:rsid w:val="0049196E"/>
    <w:rsid w:val="00491D15"/>
    <w:rsid w:val="004964F0"/>
    <w:rsid w:val="00496D6D"/>
    <w:rsid w:val="004A360E"/>
    <w:rsid w:val="004A7F72"/>
    <w:rsid w:val="004B55EC"/>
    <w:rsid w:val="004C02F2"/>
    <w:rsid w:val="004C39A7"/>
    <w:rsid w:val="004C786E"/>
    <w:rsid w:val="004D0981"/>
    <w:rsid w:val="004D23BA"/>
    <w:rsid w:val="004D796F"/>
    <w:rsid w:val="004D7C8F"/>
    <w:rsid w:val="004E1846"/>
    <w:rsid w:val="004E3054"/>
    <w:rsid w:val="004E48E9"/>
    <w:rsid w:val="004E5B94"/>
    <w:rsid w:val="004E7E88"/>
    <w:rsid w:val="004F1A37"/>
    <w:rsid w:val="004F679A"/>
    <w:rsid w:val="004F686F"/>
    <w:rsid w:val="0050053B"/>
    <w:rsid w:val="005010B8"/>
    <w:rsid w:val="0050294C"/>
    <w:rsid w:val="00504F95"/>
    <w:rsid w:val="00506C40"/>
    <w:rsid w:val="0050727E"/>
    <w:rsid w:val="005114B8"/>
    <w:rsid w:val="00514EDE"/>
    <w:rsid w:val="00520DEE"/>
    <w:rsid w:val="00520F15"/>
    <w:rsid w:val="00520FFA"/>
    <w:rsid w:val="0052154C"/>
    <w:rsid w:val="00524FE9"/>
    <w:rsid w:val="00526F7E"/>
    <w:rsid w:val="005274FD"/>
    <w:rsid w:val="0053042A"/>
    <w:rsid w:val="005308EF"/>
    <w:rsid w:val="00532416"/>
    <w:rsid w:val="00536DA3"/>
    <w:rsid w:val="005436BA"/>
    <w:rsid w:val="00544764"/>
    <w:rsid w:val="00545134"/>
    <w:rsid w:val="0054586A"/>
    <w:rsid w:val="005517D5"/>
    <w:rsid w:val="005517E5"/>
    <w:rsid w:val="00552398"/>
    <w:rsid w:val="00554159"/>
    <w:rsid w:val="00554471"/>
    <w:rsid w:val="005552E7"/>
    <w:rsid w:val="00560319"/>
    <w:rsid w:val="00562E25"/>
    <w:rsid w:val="00564747"/>
    <w:rsid w:val="00570432"/>
    <w:rsid w:val="00571955"/>
    <w:rsid w:val="00571C0A"/>
    <w:rsid w:val="00572C9E"/>
    <w:rsid w:val="00577F8C"/>
    <w:rsid w:val="00582CD6"/>
    <w:rsid w:val="00582CF2"/>
    <w:rsid w:val="00583D7C"/>
    <w:rsid w:val="00590194"/>
    <w:rsid w:val="005904FF"/>
    <w:rsid w:val="00592393"/>
    <w:rsid w:val="00594994"/>
    <w:rsid w:val="00597373"/>
    <w:rsid w:val="005A2F90"/>
    <w:rsid w:val="005A65E2"/>
    <w:rsid w:val="005A6BED"/>
    <w:rsid w:val="005A770A"/>
    <w:rsid w:val="005B0C8A"/>
    <w:rsid w:val="005B5F0E"/>
    <w:rsid w:val="005B6FAA"/>
    <w:rsid w:val="005C0036"/>
    <w:rsid w:val="005C2701"/>
    <w:rsid w:val="005C4897"/>
    <w:rsid w:val="005C5367"/>
    <w:rsid w:val="005D015C"/>
    <w:rsid w:val="005D0AB4"/>
    <w:rsid w:val="005D147D"/>
    <w:rsid w:val="005D1B52"/>
    <w:rsid w:val="005D239C"/>
    <w:rsid w:val="005D43B2"/>
    <w:rsid w:val="005D6CA5"/>
    <w:rsid w:val="005E45E4"/>
    <w:rsid w:val="005F168F"/>
    <w:rsid w:val="005F51D4"/>
    <w:rsid w:val="005F5BCE"/>
    <w:rsid w:val="005F7B37"/>
    <w:rsid w:val="006002D3"/>
    <w:rsid w:val="006026C9"/>
    <w:rsid w:val="0060420C"/>
    <w:rsid w:val="00617ADC"/>
    <w:rsid w:val="0062161A"/>
    <w:rsid w:val="00621B2A"/>
    <w:rsid w:val="006232DD"/>
    <w:rsid w:val="0062344B"/>
    <w:rsid w:val="00623D5C"/>
    <w:rsid w:val="00623E4D"/>
    <w:rsid w:val="00626515"/>
    <w:rsid w:val="0063043F"/>
    <w:rsid w:val="00631C59"/>
    <w:rsid w:val="006354E4"/>
    <w:rsid w:val="00635FD5"/>
    <w:rsid w:val="00641701"/>
    <w:rsid w:val="00643A3E"/>
    <w:rsid w:val="00647198"/>
    <w:rsid w:val="006556A8"/>
    <w:rsid w:val="006615DB"/>
    <w:rsid w:val="00661788"/>
    <w:rsid w:val="00662524"/>
    <w:rsid w:val="00663143"/>
    <w:rsid w:val="006707FF"/>
    <w:rsid w:val="0067194E"/>
    <w:rsid w:val="00672957"/>
    <w:rsid w:val="00672E90"/>
    <w:rsid w:val="006752E1"/>
    <w:rsid w:val="00681742"/>
    <w:rsid w:val="00686555"/>
    <w:rsid w:val="00690C0E"/>
    <w:rsid w:val="006950FA"/>
    <w:rsid w:val="0069595C"/>
    <w:rsid w:val="006A419F"/>
    <w:rsid w:val="006A7EE0"/>
    <w:rsid w:val="006A7FEA"/>
    <w:rsid w:val="006B089C"/>
    <w:rsid w:val="006B0FB8"/>
    <w:rsid w:val="006B5414"/>
    <w:rsid w:val="006C00A4"/>
    <w:rsid w:val="006C76BA"/>
    <w:rsid w:val="006D0C88"/>
    <w:rsid w:val="006D121F"/>
    <w:rsid w:val="006D123B"/>
    <w:rsid w:val="006D590A"/>
    <w:rsid w:val="006D6701"/>
    <w:rsid w:val="006D7EED"/>
    <w:rsid w:val="006D7FDC"/>
    <w:rsid w:val="006E046F"/>
    <w:rsid w:val="006E14E0"/>
    <w:rsid w:val="006E368A"/>
    <w:rsid w:val="006E36A0"/>
    <w:rsid w:val="006E41CA"/>
    <w:rsid w:val="006E5EB1"/>
    <w:rsid w:val="006F1F71"/>
    <w:rsid w:val="006F27F7"/>
    <w:rsid w:val="006F36D5"/>
    <w:rsid w:val="006F3E80"/>
    <w:rsid w:val="006F4DCC"/>
    <w:rsid w:val="006F7C4A"/>
    <w:rsid w:val="00700631"/>
    <w:rsid w:val="007035EC"/>
    <w:rsid w:val="00704E20"/>
    <w:rsid w:val="00710E49"/>
    <w:rsid w:val="00711008"/>
    <w:rsid w:val="007118DB"/>
    <w:rsid w:val="00711AF5"/>
    <w:rsid w:val="00713212"/>
    <w:rsid w:val="007142CA"/>
    <w:rsid w:val="00714CEA"/>
    <w:rsid w:val="00720003"/>
    <w:rsid w:val="00720D83"/>
    <w:rsid w:val="00720F37"/>
    <w:rsid w:val="00722253"/>
    <w:rsid w:val="007225B4"/>
    <w:rsid w:val="007274A8"/>
    <w:rsid w:val="00727955"/>
    <w:rsid w:val="00727CA6"/>
    <w:rsid w:val="00735C13"/>
    <w:rsid w:val="0074082A"/>
    <w:rsid w:val="00742D68"/>
    <w:rsid w:val="0074474E"/>
    <w:rsid w:val="007453AB"/>
    <w:rsid w:val="00747E41"/>
    <w:rsid w:val="00752BE6"/>
    <w:rsid w:val="00754461"/>
    <w:rsid w:val="00755402"/>
    <w:rsid w:val="00756928"/>
    <w:rsid w:val="0076391A"/>
    <w:rsid w:val="00765D94"/>
    <w:rsid w:val="00770152"/>
    <w:rsid w:val="00771020"/>
    <w:rsid w:val="007710D0"/>
    <w:rsid w:val="007719F5"/>
    <w:rsid w:val="0077241B"/>
    <w:rsid w:val="0077289F"/>
    <w:rsid w:val="00773B5B"/>
    <w:rsid w:val="007760E6"/>
    <w:rsid w:val="007768D4"/>
    <w:rsid w:val="00776FF1"/>
    <w:rsid w:val="007855CF"/>
    <w:rsid w:val="00787002"/>
    <w:rsid w:val="00787479"/>
    <w:rsid w:val="00787503"/>
    <w:rsid w:val="00787C63"/>
    <w:rsid w:val="00787D73"/>
    <w:rsid w:val="00787EB6"/>
    <w:rsid w:val="0079260C"/>
    <w:rsid w:val="0079447A"/>
    <w:rsid w:val="00794FA9"/>
    <w:rsid w:val="007976D3"/>
    <w:rsid w:val="007A16C9"/>
    <w:rsid w:val="007A17FB"/>
    <w:rsid w:val="007A433E"/>
    <w:rsid w:val="007A68E7"/>
    <w:rsid w:val="007A6F6E"/>
    <w:rsid w:val="007B19B1"/>
    <w:rsid w:val="007B41C8"/>
    <w:rsid w:val="007B4681"/>
    <w:rsid w:val="007B4A08"/>
    <w:rsid w:val="007B72A4"/>
    <w:rsid w:val="007C5F94"/>
    <w:rsid w:val="007D00E3"/>
    <w:rsid w:val="007D0A8D"/>
    <w:rsid w:val="007D16EE"/>
    <w:rsid w:val="007D5AE4"/>
    <w:rsid w:val="007D5C91"/>
    <w:rsid w:val="007E1B0F"/>
    <w:rsid w:val="007E466D"/>
    <w:rsid w:val="007E5993"/>
    <w:rsid w:val="007E6AB9"/>
    <w:rsid w:val="007E6B57"/>
    <w:rsid w:val="007E6D8A"/>
    <w:rsid w:val="007E7789"/>
    <w:rsid w:val="007F1A84"/>
    <w:rsid w:val="007F1BA4"/>
    <w:rsid w:val="007F205E"/>
    <w:rsid w:val="007F40E2"/>
    <w:rsid w:val="007F5DA1"/>
    <w:rsid w:val="00801114"/>
    <w:rsid w:val="0080158B"/>
    <w:rsid w:val="00804492"/>
    <w:rsid w:val="008045CA"/>
    <w:rsid w:val="0080526C"/>
    <w:rsid w:val="00806B2A"/>
    <w:rsid w:val="00810A71"/>
    <w:rsid w:val="0081121F"/>
    <w:rsid w:val="008127DE"/>
    <w:rsid w:val="008155A1"/>
    <w:rsid w:val="0082304E"/>
    <w:rsid w:val="00823635"/>
    <w:rsid w:val="00823ADE"/>
    <w:rsid w:val="008275A9"/>
    <w:rsid w:val="00830BF3"/>
    <w:rsid w:val="00832FDB"/>
    <w:rsid w:val="0083478C"/>
    <w:rsid w:val="00834CDB"/>
    <w:rsid w:val="00842D3A"/>
    <w:rsid w:val="008436B4"/>
    <w:rsid w:val="00844A2E"/>
    <w:rsid w:val="00847C9D"/>
    <w:rsid w:val="0085132B"/>
    <w:rsid w:val="008543D0"/>
    <w:rsid w:val="00860429"/>
    <w:rsid w:val="00860CB4"/>
    <w:rsid w:val="008651C4"/>
    <w:rsid w:val="008711A3"/>
    <w:rsid w:val="0087171A"/>
    <w:rsid w:val="00874110"/>
    <w:rsid w:val="00874E90"/>
    <w:rsid w:val="00876C19"/>
    <w:rsid w:val="00877B05"/>
    <w:rsid w:val="008803D1"/>
    <w:rsid w:val="00880EC4"/>
    <w:rsid w:val="008832ED"/>
    <w:rsid w:val="008834DD"/>
    <w:rsid w:val="0088720F"/>
    <w:rsid w:val="00887348"/>
    <w:rsid w:val="00890B27"/>
    <w:rsid w:val="00891893"/>
    <w:rsid w:val="00892DBF"/>
    <w:rsid w:val="008A251D"/>
    <w:rsid w:val="008A2B9D"/>
    <w:rsid w:val="008A2D2E"/>
    <w:rsid w:val="008A322A"/>
    <w:rsid w:val="008A610D"/>
    <w:rsid w:val="008B093F"/>
    <w:rsid w:val="008B14BC"/>
    <w:rsid w:val="008B3641"/>
    <w:rsid w:val="008B3EC6"/>
    <w:rsid w:val="008B6F6D"/>
    <w:rsid w:val="008C0610"/>
    <w:rsid w:val="008D29EA"/>
    <w:rsid w:val="008D44B6"/>
    <w:rsid w:val="008D66C7"/>
    <w:rsid w:val="008D76A9"/>
    <w:rsid w:val="008E0601"/>
    <w:rsid w:val="008E147D"/>
    <w:rsid w:val="008E38D5"/>
    <w:rsid w:val="009014B7"/>
    <w:rsid w:val="00903723"/>
    <w:rsid w:val="0090376A"/>
    <w:rsid w:val="00905B89"/>
    <w:rsid w:val="00907748"/>
    <w:rsid w:val="00907915"/>
    <w:rsid w:val="00912A7D"/>
    <w:rsid w:val="00912CDF"/>
    <w:rsid w:val="009136B9"/>
    <w:rsid w:val="00913CCC"/>
    <w:rsid w:val="00915EF3"/>
    <w:rsid w:val="00920DBC"/>
    <w:rsid w:val="00923ABF"/>
    <w:rsid w:val="00924663"/>
    <w:rsid w:val="00924CFE"/>
    <w:rsid w:val="00930540"/>
    <w:rsid w:val="00930AC2"/>
    <w:rsid w:val="009313C4"/>
    <w:rsid w:val="00931FB7"/>
    <w:rsid w:val="00932340"/>
    <w:rsid w:val="00933EBE"/>
    <w:rsid w:val="00935213"/>
    <w:rsid w:val="00935728"/>
    <w:rsid w:val="00936C28"/>
    <w:rsid w:val="00940888"/>
    <w:rsid w:val="00953201"/>
    <w:rsid w:val="00954ADF"/>
    <w:rsid w:val="00956756"/>
    <w:rsid w:val="0095798C"/>
    <w:rsid w:val="009600F0"/>
    <w:rsid w:val="0096145C"/>
    <w:rsid w:val="00961BD0"/>
    <w:rsid w:val="009653B9"/>
    <w:rsid w:val="00966C97"/>
    <w:rsid w:val="0097600A"/>
    <w:rsid w:val="0097658C"/>
    <w:rsid w:val="00976DA7"/>
    <w:rsid w:val="0097783F"/>
    <w:rsid w:val="009779F2"/>
    <w:rsid w:val="00982EB7"/>
    <w:rsid w:val="00985A80"/>
    <w:rsid w:val="00986458"/>
    <w:rsid w:val="00987CDC"/>
    <w:rsid w:val="00991D88"/>
    <w:rsid w:val="00994227"/>
    <w:rsid w:val="009A3B98"/>
    <w:rsid w:val="009A4864"/>
    <w:rsid w:val="009A7127"/>
    <w:rsid w:val="009B5FCA"/>
    <w:rsid w:val="009B691E"/>
    <w:rsid w:val="009C2267"/>
    <w:rsid w:val="009C2A79"/>
    <w:rsid w:val="009C490B"/>
    <w:rsid w:val="009C63B5"/>
    <w:rsid w:val="009C7596"/>
    <w:rsid w:val="009D286A"/>
    <w:rsid w:val="009D440E"/>
    <w:rsid w:val="009D58D7"/>
    <w:rsid w:val="009D7352"/>
    <w:rsid w:val="009E38DD"/>
    <w:rsid w:val="009E43C9"/>
    <w:rsid w:val="009E4C4F"/>
    <w:rsid w:val="009E69EB"/>
    <w:rsid w:val="009E786B"/>
    <w:rsid w:val="009F2D60"/>
    <w:rsid w:val="009F34B9"/>
    <w:rsid w:val="009F4912"/>
    <w:rsid w:val="009F5733"/>
    <w:rsid w:val="00A02A37"/>
    <w:rsid w:val="00A04F77"/>
    <w:rsid w:val="00A11BEC"/>
    <w:rsid w:val="00A12C49"/>
    <w:rsid w:val="00A1633A"/>
    <w:rsid w:val="00A16EAA"/>
    <w:rsid w:val="00A21FEA"/>
    <w:rsid w:val="00A22150"/>
    <w:rsid w:val="00A240FC"/>
    <w:rsid w:val="00A24C3F"/>
    <w:rsid w:val="00A2549B"/>
    <w:rsid w:val="00A313F6"/>
    <w:rsid w:val="00A32958"/>
    <w:rsid w:val="00A34ECF"/>
    <w:rsid w:val="00A37342"/>
    <w:rsid w:val="00A40276"/>
    <w:rsid w:val="00A41240"/>
    <w:rsid w:val="00A43103"/>
    <w:rsid w:val="00A45D09"/>
    <w:rsid w:val="00A45EB4"/>
    <w:rsid w:val="00A47A95"/>
    <w:rsid w:val="00A47C89"/>
    <w:rsid w:val="00A514F7"/>
    <w:rsid w:val="00A552F7"/>
    <w:rsid w:val="00A60D53"/>
    <w:rsid w:val="00A646F6"/>
    <w:rsid w:val="00A64DE6"/>
    <w:rsid w:val="00A72206"/>
    <w:rsid w:val="00A72591"/>
    <w:rsid w:val="00A725B1"/>
    <w:rsid w:val="00A75E2E"/>
    <w:rsid w:val="00A76AA3"/>
    <w:rsid w:val="00A81E1C"/>
    <w:rsid w:val="00A831A3"/>
    <w:rsid w:val="00A85E03"/>
    <w:rsid w:val="00A864E7"/>
    <w:rsid w:val="00A87CFD"/>
    <w:rsid w:val="00A93E29"/>
    <w:rsid w:val="00A9772F"/>
    <w:rsid w:val="00AA0FFA"/>
    <w:rsid w:val="00AA1F68"/>
    <w:rsid w:val="00AA7648"/>
    <w:rsid w:val="00AB61C0"/>
    <w:rsid w:val="00AB6EF5"/>
    <w:rsid w:val="00AC0A5C"/>
    <w:rsid w:val="00AC1BDA"/>
    <w:rsid w:val="00AC1E40"/>
    <w:rsid w:val="00AC2254"/>
    <w:rsid w:val="00AC4F83"/>
    <w:rsid w:val="00AC5D97"/>
    <w:rsid w:val="00AC6793"/>
    <w:rsid w:val="00AC7E53"/>
    <w:rsid w:val="00AD0C65"/>
    <w:rsid w:val="00AD39FC"/>
    <w:rsid w:val="00AE0119"/>
    <w:rsid w:val="00AE1072"/>
    <w:rsid w:val="00AE1164"/>
    <w:rsid w:val="00AE13A7"/>
    <w:rsid w:val="00AE16CA"/>
    <w:rsid w:val="00AE1937"/>
    <w:rsid w:val="00AE1959"/>
    <w:rsid w:val="00AE269A"/>
    <w:rsid w:val="00AE30D2"/>
    <w:rsid w:val="00AE6A25"/>
    <w:rsid w:val="00AF0D08"/>
    <w:rsid w:val="00AF299C"/>
    <w:rsid w:val="00AF44E4"/>
    <w:rsid w:val="00B00378"/>
    <w:rsid w:val="00B0111E"/>
    <w:rsid w:val="00B02026"/>
    <w:rsid w:val="00B03021"/>
    <w:rsid w:val="00B03784"/>
    <w:rsid w:val="00B05E9B"/>
    <w:rsid w:val="00B07640"/>
    <w:rsid w:val="00B115A4"/>
    <w:rsid w:val="00B1686E"/>
    <w:rsid w:val="00B17616"/>
    <w:rsid w:val="00B203B0"/>
    <w:rsid w:val="00B22A65"/>
    <w:rsid w:val="00B24619"/>
    <w:rsid w:val="00B2467C"/>
    <w:rsid w:val="00B30030"/>
    <w:rsid w:val="00B30A57"/>
    <w:rsid w:val="00B30DD0"/>
    <w:rsid w:val="00B32EE2"/>
    <w:rsid w:val="00B368BB"/>
    <w:rsid w:val="00B43BE4"/>
    <w:rsid w:val="00B54B7D"/>
    <w:rsid w:val="00B56C2A"/>
    <w:rsid w:val="00B57112"/>
    <w:rsid w:val="00B606B5"/>
    <w:rsid w:val="00B60D86"/>
    <w:rsid w:val="00B61727"/>
    <w:rsid w:val="00B628C1"/>
    <w:rsid w:val="00B64508"/>
    <w:rsid w:val="00B6541F"/>
    <w:rsid w:val="00B66F4D"/>
    <w:rsid w:val="00B71311"/>
    <w:rsid w:val="00B7241E"/>
    <w:rsid w:val="00B73E1A"/>
    <w:rsid w:val="00B7673E"/>
    <w:rsid w:val="00B80245"/>
    <w:rsid w:val="00B80806"/>
    <w:rsid w:val="00B84704"/>
    <w:rsid w:val="00B87C4E"/>
    <w:rsid w:val="00B93D5A"/>
    <w:rsid w:val="00B9533C"/>
    <w:rsid w:val="00B953EF"/>
    <w:rsid w:val="00BA380F"/>
    <w:rsid w:val="00BA5A19"/>
    <w:rsid w:val="00BB1002"/>
    <w:rsid w:val="00BC04D0"/>
    <w:rsid w:val="00BC58CE"/>
    <w:rsid w:val="00BC6E15"/>
    <w:rsid w:val="00BD1340"/>
    <w:rsid w:val="00BD4BD4"/>
    <w:rsid w:val="00BD5824"/>
    <w:rsid w:val="00BE45B0"/>
    <w:rsid w:val="00BE59C9"/>
    <w:rsid w:val="00BE6A23"/>
    <w:rsid w:val="00BE7AE7"/>
    <w:rsid w:val="00BF50E4"/>
    <w:rsid w:val="00BF5111"/>
    <w:rsid w:val="00BF5BE5"/>
    <w:rsid w:val="00BF5D51"/>
    <w:rsid w:val="00BF75EA"/>
    <w:rsid w:val="00C00A89"/>
    <w:rsid w:val="00C0188E"/>
    <w:rsid w:val="00C03156"/>
    <w:rsid w:val="00C03556"/>
    <w:rsid w:val="00C03696"/>
    <w:rsid w:val="00C04825"/>
    <w:rsid w:val="00C05B0F"/>
    <w:rsid w:val="00C12F2C"/>
    <w:rsid w:val="00C20FEA"/>
    <w:rsid w:val="00C217B9"/>
    <w:rsid w:val="00C2241D"/>
    <w:rsid w:val="00C27238"/>
    <w:rsid w:val="00C30C39"/>
    <w:rsid w:val="00C34616"/>
    <w:rsid w:val="00C37EE6"/>
    <w:rsid w:val="00C40087"/>
    <w:rsid w:val="00C40FEB"/>
    <w:rsid w:val="00C41F0C"/>
    <w:rsid w:val="00C46DF3"/>
    <w:rsid w:val="00C47E50"/>
    <w:rsid w:val="00C5445F"/>
    <w:rsid w:val="00C567B3"/>
    <w:rsid w:val="00C57067"/>
    <w:rsid w:val="00C57172"/>
    <w:rsid w:val="00C579DD"/>
    <w:rsid w:val="00C60D55"/>
    <w:rsid w:val="00C60D8D"/>
    <w:rsid w:val="00C63ED3"/>
    <w:rsid w:val="00C6685F"/>
    <w:rsid w:val="00C66D49"/>
    <w:rsid w:val="00C67EF8"/>
    <w:rsid w:val="00C73B3C"/>
    <w:rsid w:val="00C828C0"/>
    <w:rsid w:val="00C82BDE"/>
    <w:rsid w:val="00C85AEF"/>
    <w:rsid w:val="00C86DEA"/>
    <w:rsid w:val="00C914F6"/>
    <w:rsid w:val="00C9521F"/>
    <w:rsid w:val="00C96678"/>
    <w:rsid w:val="00C96AFB"/>
    <w:rsid w:val="00C96FF5"/>
    <w:rsid w:val="00CA1861"/>
    <w:rsid w:val="00CA4BD1"/>
    <w:rsid w:val="00CA7D6F"/>
    <w:rsid w:val="00CB126A"/>
    <w:rsid w:val="00CB1F23"/>
    <w:rsid w:val="00CB20EB"/>
    <w:rsid w:val="00CB5118"/>
    <w:rsid w:val="00CC0397"/>
    <w:rsid w:val="00CC1FED"/>
    <w:rsid w:val="00CC6F7A"/>
    <w:rsid w:val="00CD4768"/>
    <w:rsid w:val="00CD6965"/>
    <w:rsid w:val="00CD6D41"/>
    <w:rsid w:val="00CE19ED"/>
    <w:rsid w:val="00CE2AF2"/>
    <w:rsid w:val="00CE3E44"/>
    <w:rsid w:val="00CE470F"/>
    <w:rsid w:val="00CE5B6B"/>
    <w:rsid w:val="00CE7602"/>
    <w:rsid w:val="00CF032A"/>
    <w:rsid w:val="00CF03FC"/>
    <w:rsid w:val="00CF1BE2"/>
    <w:rsid w:val="00CF3463"/>
    <w:rsid w:val="00CF578E"/>
    <w:rsid w:val="00CF61C9"/>
    <w:rsid w:val="00CF6811"/>
    <w:rsid w:val="00D01680"/>
    <w:rsid w:val="00D06E2D"/>
    <w:rsid w:val="00D13116"/>
    <w:rsid w:val="00D13983"/>
    <w:rsid w:val="00D155AA"/>
    <w:rsid w:val="00D15ABA"/>
    <w:rsid w:val="00D21795"/>
    <w:rsid w:val="00D22630"/>
    <w:rsid w:val="00D23C54"/>
    <w:rsid w:val="00D26391"/>
    <w:rsid w:val="00D306EA"/>
    <w:rsid w:val="00D30BF9"/>
    <w:rsid w:val="00D310CA"/>
    <w:rsid w:val="00D32C59"/>
    <w:rsid w:val="00D3426B"/>
    <w:rsid w:val="00D3704F"/>
    <w:rsid w:val="00D40DB8"/>
    <w:rsid w:val="00D416FE"/>
    <w:rsid w:val="00D43652"/>
    <w:rsid w:val="00D43F7B"/>
    <w:rsid w:val="00D45944"/>
    <w:rsid w:val="00D45D98"/>
    <w:rsid w:val="00D5141D"/>
    <w:rsid w:val="00D52612"/>
    <w:rsid w:val="00D52900"/>
    <w:rsid w:val="00D533D3"/>
    <w:rsid w:val="00D54EFC"/>
    <w:rsid w:val="00D55042"/>
    <w:rsid w:val="00D57DFA"/>
    <w:rsid w:val="00D62E3B"/>
    <w:rsid w:val="00D636F4"/>
    <w:rsid w:val="00D70285"/>
    <w:rsid w:val="00D7043C"/>
    <w:rsid w:val="00D72445"/>
    <w:rsid w:val="00D72B5D"/>
    <w:rsid w:val="00D72F07"/>
    <w:rsid w:val="00D7583B"/>
    <w:rsid w:val="00D82582"/>
    <w:rsid w:val="00D91257"/>
    <w:rsid w:val="00D92CA8"/>
    <w:rsid w:val="00DA07CA"/>
    <w:rsid w:val="00DB0DA3"/>
    <w:rsid w:val="00DB5046"/>
    <w:rsid w:val="00DB63B0"/>
    <w:rsid w:val="00DB6BC6"/>
    <w:rsid w:val="00DB75C4"/>
    <w:rsid w:val="00DB7734"/>
    <w:rsid w:val="00DC1966"/>
    <w:rsid w:val="00DC26E1"/>
    <w:rsid w:val="00DC3334"/>
    <w:rsid w:val="00DC4BBF"/>
    <w:rsid w:val="00DC5795"/>
    <w:rsid w:val="00DC6ABE"/>
    <w:rsid w:val="00DD02B8"/>
    <w:rsid w:val="00DD0C22"/>
    <w:rsid w:val="00DD14E7"/>
    <w:rsid w:val="00DD1616"/>
    <w:rsid w:val="00DD460A"/>
    <w:rsid w:val="00DD52EA"/>
    <w:rsid w:val="00DD5818"/>
    <w:rsid w:val="00DD73BA"/>
    <w:rsid w:val="00DE4765"/>
    <w:rsid w:val="00DE4E14"/>
    <w:rsid w:val="00DE579E"/>
    <w:rsid w:val="00DF0E9A"/>
    <w:rsid w:val="00DF48ED"/>
    <w:rsid w:val="00E013F1"/>
    <w:rsid w:val="00E01C6D"/>
    <w:rsid w:val="00E0266B"/>
    <w:rsid w:val="00E032F0"/>
    <w:rsid w:val="00E040C5"/>
    <w:rsid w:val="00E05492"/>
    <w:rsid w:val="00E105EC"/>
    <w:rsid w:val="00E23E55"/>
    <w:rsid w:val="00E30C36"/>
    <w:rsid w:val="00E32BE2"/>
    <w:rsid w:val="00E361BF"/>
    <w:rsid w:val="00E411E8"/>
    <w:rsid w:val="00E415B9"/>
    <w:rsid w:val="00E46CCF"/>
    <w:rsid w:val="00E47079"/>
    <w:rsid w:val="00E475A3"/>
    <w:rsid w:val="00E60852"/>
    <w:rsid w:val="00E6184C"/>
    <w:rsid w:val="00E6241F"/>
    <w:rsid w:val="00E6277A"/>
    <w:rsid w:val="00E63A71"/>
    <w:rsid w:val="00E6438D"/>
    <w:rsid w:val="00E701E8"/>
    <w:rsid w:val="00E70839"/>
    <w:rsid w:val="00E76E5F"/>
    <w:rsid w:val="00E850A2"/>
    <w:rsid w:val="00E86E98"/>
    <w:rsid w:val="00E877A4"/>
    <w:rsid w:val="00E918FE"/>
    <w:rsid w:val="00E96C92"/>
    <w:rsid w:val="00E9770E"/>
    <w:rsid w:val="00EA02E9"/>
    <w:rsid w:val="00EA03A4"/>
    <w:rsid w:val="00EA14EE"/>
    <w:rsid w:val="00EA2E23"/>
    <w:rsid w:val="00EA36EF"/>
    <w:rsid w:val="00EA3E12"/>
    <w:rsid w:val="00EA7EB7"/>
    <w:rsid w:val="00EB1041"/>
    <w:rsid w:val="00EC3316"/>
    <w:rsid w:val="00EC4DA8"/>
    <w:rsid w:val="00EC4E07"/>
    <w:rsid w:val="00EC52A5"/>
    <w:rsid w:val="00EC5C6E"/>
    <w:rsid w:val="00EC5D01"/>
    <w:rsid w:val="00ED0270"/>
    <w:rsid w:val="00ED1696"/>
    <w:rsid w:val="00ED488F"/>
    <w:rsid w:val="00ED4B83"/>
    <w:rsid w:val="00ED62B3"/>
    <w:rsid w:val="00ED63BB"/>
    <w:rsid w:val="00EE2884"/>
    <w:rsid w:val="00EE6EA7"/>
    <w:rsid w:val="00EF2734"/>
    <w:rsid w:val="00EF3DEF"/>
    <w:rsid w:val="00F00249"/>
    <w:rsid w:val="00F005AF"/>
    <w:rsid w:val="00F0160F"/>
    <w:rsid w:val="00F03ED4"/>
    <w:rsid w:val="00F04AE3"/>
    <w:rsid w:val="00F076A9"/>
    <w:rsid w:val="00F07ADA"/>
    <w:rsid w:val="00F10419"/>
    <w:rsid w:val="00F11047"/>
    <w:rsid w:val="00F115EC"/>
    <w:rsid w:val="00F13BD3"/>
    <w:rsid w:val="00F15396"/>
    <w:rsid w:val="00F15549"/>
    <w:rsid w:val="00F21322"/>
    <w:rsid w:val="00F2689F"/>
    <w:rsid w:val="00F32A1F"/>
    <w:rsid w:val="00F36991"/>
    <w:rsid w:val="00F41955"/>
    <w:rsid w:val="00F45180"/>
    <w:rsid w:val="00F50BBB"/>
    <w:rsid w:val="00F55337"/>
    <w:rsid w:val="00F55C42"/>
    <w:rsid w:val="00F572FD"/>
    <w:rsid w:val="00F62105"/>
    <w:rsid w:val="00F622D0"/>
    <w:rsid w:val="00F62FFB"/>
    <w:rsid w:val="00F6554A"/>
    <w:rsid w:val="00F67AC5"/>
    <w:rsid w:val="00F70226"/>
    <w:rsid w:val="00F703ED"/>
    <w:rsid w:val="00F7049F"/>
    <w:rsid w:val="00F72191"/>
    <w:rsid w:val="00F736C2"/>
    <w:rsid w:val="00F75987"/>
    <w:rsid w:val="00F82EE0"/>
    <w:rsid w:val="00F85069"/>
    <w:rsid w:val="00F87F98"/>
    <w:rsid w:val="00F93519"/>
    <w:rsid w:val="00F94B0E"/>
    <w:rsid w:val="00F96C73"/>
    <w:rsid w:val="00F97039"/>
    <w:rsid w:val="00FA65CC"/>
    <w:rsid w:val="00FA68B6"/>
    <w:rsid w:val="00FA7404"/>
    <w:rsid w:val="00FA7A57"/>
    <w:rsid w:val="00FB10A3"/>
    <w:rsid w:val="00FB16AD"/>
    <w:rsid w:val="00FB18ED"/>
    <w:rsid w:val="00FB511C"/>
    <w:rsid w:val="00FB51D2"/>
    <w:rsid w:val="00FB647A"/>
    <w:rsid w:val="00FC1ED7"/>
    <w:rsid w:val="00FC280D"/>
    <w:rsid w:val="00FC2D0F"/>
    <w:rsid w:val="00FC3050"/>
    <w:rsid w:val="00FC43BA"/>
    <w:rsid w:val="00FC45A0"/>
    <w:rsid w:val="00FC4837"/>
    <w:rsid w:val="00FC62A9"/>
    <w:rsid w:val="00FD1E98"/>
    <w:rsid w:val="00FD21C9"/>
    <w:rsid w:val="00FD4DDB"/>
    <w:rsid w:val="00FE1CE4"/>
    <w:rsid w:val="00FE78D7"/>
    <w:rsid w:val="00FE7D4F"/>
    <w:rsid w:val="00FF37B5"/>
    <w:rsid w:val="00FF4046"/>
    <w:rsid w:val="00FF42B4"/>
    <w:rsid w:val="00FF64E5"/>
    <w:rsid w:val="00FF6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6385">
      <v:textbox inset="5.85pt,.7pt,5.85pt,.7pt"/>
    </o:shapedefaults>
    <o:shapelayout v:ext="edit">
      <o:idmap v:ext="edit" data="1"/>
    </o:shapelayout>
  </w:shapeDefaults>
  <w:decimalSymbol w:val="."/>
  <w:listSeparator w:val=","/>
  <w14:docId w14:val="7FAC7F7A"/>
  <w15:docId w15:val="{2558FA26-45B2-4BDD-942D-87AD3E02D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4B83"/>
    <w:pPr>
      <w:widowControl w:val="0"/>
      <w:autoSpaceDE w:val="0"/>
      <w:autoSpaceDN w:val="0"/>
      <w:spacing w:line="374" w:lineRule="atLeast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D4B83"/>
    <w:rPr>
      <w:rFonts w:ascii="明朝体" w:eastAsia="明朝体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D0C22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D0C22"/>
    <w:rPr>
      <w:rFonts w:ascii="Arial" w:eastAsia="ＭＳ ゴシック" w:hAnsi="Arial" w:cs="Times New Roman"/>
      <w:kern w:val="0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5578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55786"/>
    <w:rPr>
      <w:sz w:val="24"/>
    </w:rPr>
  </w:style>
  <w:style w:type="paragraph" w:styleId="a8">
    <w:name w:val="footer"/>
    <w:basedOn w:val="a"/>
    <w:link w:val="a9"/>
    <w:uiPriority w:val="99"/>
    <w:unhideWhenUsed/>
    <w:rsid w:val="0025578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55786"/>
    <w:rPr>
      <w:sz w:val="24"/>
    </w:rPr>
  </w:style>
  <w:style w:type="character" w:styleId="aa">
    <w:name w:val="annotation reference"/>
    <w:basedOn w:val="a0"/>
    <w:uiPriority w:val="99"/>
    <w:semiHidden/>
    <w:unhideWhenUsed/>
    <w:rsid w:val="007D00E3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7D00E3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7D00E3"/>
    <w:rPr>
      <w:sz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D00E3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7D00E3"/>
    <w:rPr>
      <w:b/>
      <w:bCs/>
      <w:sz w:val="24"/>
    </w:rPr>
  </w:style>
  <w:style w:type="character" w:styleId="af">
    <w:name w:val="Strong"/>
    <w:basedOn w:val="a0"/>
    <w:uiPriority w:val="22"/>
    <w:qFormat/>
    <w:rsid w:val="005517D5"/>
    <w:rPr>
      <w:b/>
      <w:bCs/>
    </w:rPr>
  </w:style>
  <w:style w:type="paragraph" w:styleId="af0">
    <w:name w:val="List Paragraph"/>
    <w:basedOn w:val="a"/>
    <w:uiPriority w:val="34"/>
    <w:qFormat/>
    <w:rsid w:val="00520FF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918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5.emf"/><Relationship Id="rId18" Type="http://schemas.openxmlformats.org/officeDocument/2006/relationships/chart" Target="charts/chart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17" Type="http://schemas.openxmlformats.org/officeDocument/2006/relationships/image" Target="media/image9.emf"/><Relationship Id="rId2" Type="http://schemas.openxmlformats.org/officeDocument/2006/relationships/numbering" Target="numbering.xml"/><Relationship Id="rId16" Type="http://schemas.openxmlformats.org/officeDocument/2006/relationships/image" Target="media/image8.e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image" Target="media/image7.emf"/><Relationship Id="rId10" Type="http://schemas.openxmlformats.org/officeDocument/2006/relationships/image" Target="media/image2.emf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image" Target="media/image6.emf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______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______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4035882838588837"/>
          <c:y val="0.13277661125692622"/>
          <c:w val="0.48738571997749108"/>
          <c:h val="0.86510965296004672"/>
        </c:manualLayout>
      </c:layout>
      <c:pieChart>
        <c:varyColors val="1"/>
        <c:ser>
          <c:idx val="1"/>
          <c:order val="0"/>
          <c:tx>
            <c:strRef>
              <c:f>Sheet1!$A$2</c:f>
              <c:strCache>
                <c:ptCount val="1"/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9999FF"/>
              </a:solidFill>
              <a:ln w="12700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1-4581-4ABB-9ACA-F2BDDDDF6C24}"/>
              </c:ext>
            </c:extLst>
          </c:dPt>
          <c:dPt>
            <c:idx val="2"/>
            <c:bubble3D val="0"/>
            <c:spPr>
              <a:solidFill>
                <a:srgbClr val="FFFFCC"/>
              </a:solidFill>
              <a:ln w="12700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3-4581-4ABB-9ACA-F2BDDDDF6C24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12700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5-4581-4ABB-9ACA-F2BDDDDF6C24}"/>
              </c:ext>
            </c:extLst>
          </c:dPt>
          <c:dPt>
            <c:idx val="4"/>
            <c:bubble3D val="0"/>
            <c:spPr>
              <a:solidFill>
                <a:srgbClr val="660066"/>
              </a:solidFill>
              <a:ln w="12700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7-4581-4ABB-9ACA-F2BDDDDF6C24}"/>
              </c:ext>
            </c:extLst>
          </c:dPt>
          <c:dPt>
            <c:idx val="5"/>
            <c:bubble3D val="0"/>
            <c:spPr>
              <a:solidFill>
                <a:srgbClr val="FF8080"/>
              </a:solidFill>
              <a:ln w="12700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9-4581-4ABB-9ACA-F2BDDDDF6C24}"/>
              </c:ext>
            </c:extLst>
          </c:dPt>
          <c:dPt>
            <c:idx val="6"/>
            <c:bubble3D val="0"/>
            <c:spPr>
              <a:solidFill>
                <a:srgbClr val="0066CC"/>
              </a:solidFill>
              <a:ln w="12700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B-4581-4ABB-9ACA-F2BDDDDF6C24}"/>
              </c:ext>
            </c:extLst>
          </c:dPt>
          <c:dPt>
            <c:idx val="7"/>
            <c:bubble3D val="0"/>
            <c:spPr>
              <a:solidFill>
                <a:srgbClr val="CCCCFF"/>
              </a:solidFill>
              <a:ln w="12700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D-4581-4ABB-9ACA-F2BDDDDF6C24}"/>
              </c:ext>
            </c:extLst>
          </c:dPt>
          <c:dPt>
            <c:idx val="8"/>
            <c:bubble3D val="0"/>
            <c:spPr>
              <a:solidFill>
                <a:srgbClr val="000080"/>
              </a:solidFill>
              <a:ln w="12700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F-4581-4ABB-9ACA-F2BDDDDF6C24}"/>
              </c:ext>
            </c:extLst>
          </c:dPt>
          <c:dPt>
            <c:idx val="9"/>
            <c:bubble3D val="0"/>
            <c:spPr>
              <a:solidFill>
                <a:srgbClr val="FF00FF"/>
              </a:solidFill>
              <a:ln w="12700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1-4581-4ABB-9ACA-F2BDDDDF6C24}"/>
              </c:ext>
            </c:extLst>
          </c:dPt>
          <c:dPt>
            <c:idx val="10"/>
            <c:bubble3D val="0"/>
            <c:spPr>
              <a:solidFill>
                <a:srgbClr val="FFFF00"/>
              </a:solidFill>
              <a:ln w="12700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3-4581-4ABB-9ACA-F2BDDDDF6C24}"/>
              </c:ext>
            </c:extLst>
          </c:dPt>
          <c:dLbls>
            <c:dLbl>
              <c:idx val="0"/>
              <c:layout>
                <c:manualLayout>
                  <c:x val="-0.25285144521254094"/>
                  <c:y val="0.51739457567804026"/>
                </c:manualLayout>
              </c:layout>
              <c:tx>
                <c:rich>
                  <a:bodyPr/>
                  <a:lstStyle/>
                  <a:p>
                    <a:pPr>
                      <a:defRPr>
                        <a:solidFill>
                          <a:schemeClr val="lt1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ja-JP" altLang="en-US" sz="900">
                        <a:solidFill>
                          <a:sysClr val="windowText" lastClr="000000"/>
                        </a:solidFill>
                        <a:latin typeface="+mn-ea"/>
                        <a:ea typeface="+mn-ea"/>
                      </a:rPr>
                      <a:t>市税</a:t>
                    </a:r>
                    <a:r>
                      <a:rPr lang="en-US" altLang="ja-JP" sz="900">
                        <a:solidFill>
                          <a:sysClr val="windowText" lastClr="000000"/>
                        </a:solidFill>
                        <a:latin typeface="+mn-ea"/>
                        <a:ea typeface="+mn-ea"/>
                      </a:rPr>
                      <a:t>28.7(38.3)</a:t>
                    </a:r>
                    <a:r>
                      <a:rPr lang="ja-JP" altLang="en-US">
                        <a:latin typeface="+mn-ea"/>
                        <a:ea typeface="+mn-ea"/>
                      </a:rPr>
                      <a:t> </a:t>
                    </a:r>
                  </a:p>
                </c:rich>
              </c:tx>
              <c:spPr>
                <a:solidFill>
                  <a:schemeClr val="bg1"/>
                </a:solidFill>
                <a:ln w="38100" cap="flat" cmpd="sng" algn="ctr">
                  <a:solidFill>
                    <a:schemeClr val="lt1"/>
                  </a:solidFill>
                  <a:prstDash val="solid"/>
                </a:ln>
                <a:effectLst/>
              </c:spPr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4581-4ABB-9ACA-F2BDDDDF6C24}"/>
                </c:ext>
              </c:extLst>
            </c:dLbl>
            <c:dLbl>
              <c:idx val="1"/>
              <c:layout>
                <c:manualLayout>
                  <c:x val="-0.28216857869292161"/>
                  <c:y val="-0.41664304461942264"/>
                </c:manualLayout>
              </c:layout>
              <c:tx>
                <c:rich>
                  <a:bodyPr/>
                  <a:lstStyle/>
                  <a:p>
                    <a:r>
                      <a:rPr lang="ja-JP" altLang="en-US"/>
                      <a:t>市債</a:t>
                    </a:r>
                    <a:r>
                      <a:rPr lang="en-US" altLang="ja-JP"/>
                      <a:t>8.4(10.7) </a:t>
                    </a:r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4-4581-4ABB-9ACA-F2BDDDDF6C24}"/>
                </c:ext>
              </c:extLst>
            </c:dLbl>
            <c:dLbl>
              <c:idx val="2"/>
              <c:layout>
                <c:manualLayout>
                  <c:x val="0.39223294271314679"/>
                  <c:y val="-0.43422134733158357"/>
                </c:manualLayout>
              </c:layout>
              <c:tx>
                <c:rich>
                  <a:bodyPr/>
                  <a:lstStyle/>
                  <a:p>
                    <a:r>
                      <a:rPr lang="ja-JP" altLang="en-US"/>
                      <a:t>国庫支出金</a:t>
                    </a:r>
                    <a:r>
                      <a:rPr lang="en-US" altLang="ja-JP"/>
                      <a:t>31.5(12.9) </a:t>
                    </a:r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4581-4ABB-9ACA-F2BDDDDF6C24}"/>
                </c:ext>
              </c:extLst>
            </c:dLbl>
            <c:dLbl>
              <c:idx val="3"/>
              <c:layout>
                <c:manualLayout>
                  <c:x val="0.16000591475361353"/>
                  <c:y val="0.17163429571303587"/>
                </c:manualLayout>
              </c:layout>
              <c:tx>
                <c:rich>
                  <a:bodyPr/>
                  <a:lstStyle/>
                  <a:p>
                    <a:r>
                      <a:rPr lang="ja-JP" altLang="en-US"/>
                      <a:t>地方交付税</a:t>
                    </a:r>
                    <a:r>
                      <a:rPr lang="en-US" altLang="ja-JP"/>
                      <a:t>10.6(13.7) </a:t>
                    </a:r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4581-4ABB-9ACA-F2BDDDDF6C24}"/>
                </c:ext>
              </c:extLst>
            </c:dLbl>
            <c:dLbl>
              <c:idx val="4"/>
              <c:layout>
                <c:manualLayout>
                  <c:x val="-3.7558685446009391E-2"/>
                  <c:y val="6.537882764654418E-2"/>
                </c:manualLayout>
              </c:layout>
              <c:tx>
                <c:rich>
                  <a:bodyPr/>
                  <a:lstStyle/>
                  <a:p>
                    <a:r>
                      <a:rPr lang="ja-JP" altLang="en-US"/>
                      <a:t>県支出金</a:t>
                    </a:r>
                    <a:r>
                      <a:rPr lang="en-US" altLang="ja-JP"/>
                      <a:t>5.1(6.3) </a:t>
                    </a:r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4581-4ABB-9ACA-F2BDDDDF6C24}"/>
                </c:ext>
              </c:extLst>
            </c:dLbl>
            <c:dLbl>
              <c:idx val="5"/>
              <c:layout>
                <c:manualLayout>
                  <c:x val="-4.9324116175618903E-2"/>
                  <c:y val="0.10860119568387289"/>
                </c:manualLayout>
              </c:layout>
              <c:tx>
                <c:rich>
                  <a:bodyPr/>
                  <a:lstStyle/>
                  <a:p>
                    <a:r>
                      <a:rPr lang="ja-JP" altLang="en-US"/>
                      <a:t>地方消費税交付金</a:t>
                    </a:r>
                    <a:r>
                      <a:rPr lang="en-US" altLang="ja-JP"/>
                      <a:t>4.3(4.7) </a:t>
                    </a:r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7736045905059988"/>
                      <c:h val="0.11241134751773049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9-4581-4ABB-9ACA-F2BDDDDF6C24}"/>
                </c:ext>
              </c:extLst>
            </c:dLbl>
            <c:dLbl>
              <c:idx val="6"/>
              <c:layout>
                <c:manualLayout>
                  <c:x val="-7.9281850332088788E-2"/>
                  <c:y val="9.3794546515018923E-2"/>
                </c:manualLayout>
              </c:layout>
              <c:tx>
                <c:rich>
                  <a:bodyPr/>
                  <a:lstStyle/>
                  <a:p>
                    <a:r>
                      <a:rPr lang="ja-JP" altLang="en-US"/>
                      <a:t>諸収入</a:t>
                    </a:r>
                    <a:r>
                      <a:rPr lang="en-US" altLang="ja-JP"/>
                      <a:t>3.9(6.3) </a:t>
                    </a:r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4397496087636932"/>
                      <c:h val="9.8857392825896742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B-4581-4ABB-9ACA-F2BDDDDF6C24}"/>
                </c:ext>
              </c:extLst>
            </c:dLbl>
            <c:dLbl>
              <c:idx val="7"/>
              <c:layout>
                <c:manualLayout>
                  <c:x val="-6.6086527916404819E-2"/>
                  <c:y val="5.5260863225430154E-2"/>
                </c:manualLayout>
              </c:layout>
              <c:tx>
                <c:rich>
                  <a:bodyPr/>
                  <a:lstStyle/>
                  <a:p>
                    <a:r>
                      <a:rPr lang="ja-JP" altLang="en-US"/>
                      <a:t>繰越金</a:t>
                    </a:r>
                    <a:r>
                      <a:rPr lang="en-US" altLang="ja-JP"/>
                      <a:t>2.8(1.4) </a:t>
                    </a:r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4397496087636932"/>
                      <c:h val="7.6950354609929078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D-4581-4ABB-9ACA-F2BDDDDF6C24}"/>
                </c:ext>
              </c:extLst>
            </c:dLbl>
            <c:dLbl>
              <c:idx val="8"/>
              <c:layout>
                <c:manualLayout>
                  <c:x val="-0.12696757975675577"/>
                  <c:y val="1.1111402741323996E-2"/>
                </c:manualLayout>
              </c:layout>
              <c:tx>
                <c:rich>
                  <a:bodyPr/>
                  <a:lstStyle/>
                  <a:p>
                    <a:r>
                      <a:rPr lang="ja-JP" altLang="en-US"/>
                      <a:t>使用料及び手数料</a:t>
                    </a:r>
                    <a:r>
                      <a:rPr lang="en-US" altLang="ja-JP"/>
                      <a:t>1.4(2.4) </a:t>
                    </a:r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6484089723526346"/>
                      <c:h val="0.116272674249052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F-4581-4ABB-9ACA-F2BDDDDF6C24}"/>
                </c:ext>
              </c:extLst>
            </c:dLbl>
            <c:dLbl>
              <c:idx val="9"/>
              <c:layout>
                <c:manualLayout>
                  <c:x val="1.8671562768268982E-2"/>
                  <c:y val="-4.032268883056285E-2"/>
                </c:manualLayout>
              </c:layout>
              <c:tx>
                <c:rich>
                  <a:bodyPr/>
                  <a:lstStyle/>
                  <a:p>
                    <a:r>
                      <a:rPr lang="ja-JP" altLang="en-US"/>
                      <a:t>繰入金</a:t>
                    </a:r>
                    <a:r>
                      <a:rPr lang="en-US" altLang="ja-JP"/>
                      <a:t>0.9(0.4) </a:t>
                    </a:r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4397496087636932"/>
                      <c:h val="4.2553222513852428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1-4581-4ABB-9ACA-F2BDDDDF6C24}"/>
                </c:ext>
              </c:extLst>
            </c:dLbl>
            <c:dLbl>
              <c:idx val="10"/>
              <c:layout>
                <c:manualLayout>
                  <c:x val="0.12957500030806007"/>
                  <c:y val="1.1111402741324002E-2"/>
                </c:manualLayout>
              </c:layout>
              <c:tx>
                <c:rich>
                  <a:bodyPr/>
                  <a:lstStyle/>
                  <a:p>
                    <a:r>
                      <a:rPr lang="ja-JP" altLang="en-US"/>
                      <a:t>その他</a:t>
                    </a:r>
                    <a:r>
                      <a:rPr lang="en-US" altLang="ja-JP"/>
                      <a:t>2.4(2.9) </a:t>
                    </a:r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5232133541992696"/>
                      <c:h val="6.1820355788859728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3-4581-4ABB-9ACA-F2BDDDDF6C24}"/>
                </c:ext>
              </c:extLst>
            </c:dLbl>
            <c:spPr>
              <a:solidFill>
                <a:srgbClr val="FFFFFF"/>
              </a:solidFill>
              <a:ln w="25399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ＭＳ 明朝"/>
                    <a:ea typeface="ＭＳ 明朝"/>
                    <a:cs typeface="ＭＳ 明朝"/>
                  </a:defRPr>
                </a:pPr>
                <a:endParaRPr lang="ja-JP"/>
              </a:p>
            </c:txPr>
            <c:dLblPos val="ctr"/>
            <c:showLegendKey val="0"/>
            <c:showVal val="1"/>
            <c:showCatName val="1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Sheet1!$B$1:$L$1</c:f>
              <c:strCache>
                <c:ptCount val="11"/>
                <c:pt idx="0">
                  <c:v>国庫支出金</c:v>
                </c:pt>
                <c:pt idx="1">
                  <c:v>市税</c:v>
                </c:pt>
                <c:pt idx="2">
                  <c:v>地方交付税</c:v>
                </c:pt>
                <c:pt idx="3">
                  <c:v>市債</c:v>
                </c:pt>
                <c:pt idx="4">
                  <c:v>県支出金</c:v>
                </c:pt>
                <c:pt idx="5">
                  <c:v>地方消費税交付金</c:v>
                </c:pt>
                <c:pt idx="6">
                  <c:v>諸収入</c:v>
                </c:pt>
                <c:pt idx="7">
                  <c:v>繰越金</c:v>
                </c:pt>
                <c:pt idx="8">
                  <c:v>使用料及び手数料</c:v>
                </c:pt>
                <c:pt idx="9">
                  <c:v>繰入金</c:v>
                </c:pt>
                <c:pt idx="10">
                  <c:v>その他</c:v>
                </c:pt>
              </c:strCache>
            </c:strRef>
          </c:cat>
          <c:val>
            <c:numRef>
              <c:f>Sheet1!$B$2:$L$2</c:f>
              <c:numCache>
                <c:formatCode>General</c:formatCode>
                <c:ptCount val="11"/>
                <c:pt idx="0" formatCode="0.0_ ">
                  <c:v>31.5</c:v>
                </c:pt>
                <c:pt idx="1">
                  <c:v>28.7</c:v>
                </c:pt>
                <c:pt idx="2" formatCode="0.0_ ">
                  <c:v>10.6</c:v>
                </c:pt>
                <c:pt idx="3" formatCode="0.0_ ">
                  <c:v>8.4</c:v>
                </c:pt>
                <c:pt idx="4" formatCode="0.0_ ">
                  <c:v>5.0999999999999996</c:v>
                </c:pt>
                <c:pt idx="5" formatCode="0.0_ ">
                  <c:v>4.3</c:v>
                </c:pt>
                <c:pt idx="6" formatCode="0.0_ ">
                  <c:v>4</c:v>
                </c:pt>
                <c:pt idx="7" formatCode="0.0_ ">
                  <c:v>2.8</c:v>
                </c:pt>
                <c:pt idx="8" formatCode="0.0_ ">
                  <c:v>1.4</c:v>
                </c:pt>
                <c:pt idx="9" formatCode="0.0_ ">
                  <c:v>0.9</c:v>
                </c:pt>
                <c:pt idx="10" formatCode="0.0_ ">
                  <c:v>2.2999999999999998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5-4581-4ABB-9ACA-F2BDDDDF6C24}"/>
            </c:ext>
          </c:extLst>
        </c:ser>
        <c:dLbls>
          <c:showLegendKey val="0"/>
          <c:showVal val="1"/>
          <c:showCatName val="1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ＭＳ 明朝"/>
          <a:ea typeface="ＭＳ 明朝"/>
          <a:cs typeface="ＭＳ 明朝"/>
        </a:defRPr>
      </a:pPr>
      <a:endParaRPr lang="ja-JP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2173339828366329"/>
          <c:y val="0.12278729368420421"/>
          <c:w val="0.7589917979002625"/>
          <c:h val="0.66101694915254239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市債（発行額）</c:v>
                </c:pt>
              </c:strCache>
            </c:strRef>
          </c:tx>
          <c:spPr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4.0361298328013707E-3"/>
                  <c:y val="-1.6156127611152496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168D-4E63-98A3-C69076A05325}"/>
                </c:ext>
              </c:extLst>
            </c:dLbl>
            <c:dLbl>
              <c:idx val="1"/>
              <c:layout>
                <c:manualLayout>
                  <c:x val="-1.111393855084831E-2"/>
                  <c:y val="-1.9436662843145769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168D-4E63-98A3-C69076A05325}"/>
                </c:ext>
              </c:extLst>
            </c:dLbl>
            <c:dLbl>
              <c:idx val="2"/>
              <c:layout>
                <c:manualLayout>
                  <c:x val="-2.1019187006056376E-2"/>
                  <c:y val="-1.7283076121578825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168D-4E63-98A3-C69076A05325}"/>
                </c:ext>
              </c:extLst>
            </c:dLbl>
            <c:dLbl>
              <c:idx val="3"/>
              <c:layout>
                <c:manualLayout>
                  <c:x val="-2.1648171171586007E-2"/>
                  <c:y val="-8.7818353814304844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168D-4E63-98A3-C69076A05325}"/>
                </c:ext>
              </c:extLst>
            </c:dLbl>
            <c:dLbl>
              <c:idx val="4"/>
              <c:layout>
                <c:manualLayout>
                  <c:x val="-2.4461392926068914E-2"/>
                  <c:y val="5.8810626036806335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4-168D-4E63-98A3-C69076A05325}"/>
                </c:ext>
              </c:extLst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ＭＳ Ｐ明朝"/>
                    <a:ea typeface="ＭＳ Ｐ明朝"/>
                    <a:cs typeface="ＭＳ Ｐ明朝"/>
                  </a:defRPr>
                </a:pPr>
                <a:endParaRPr lang="ja-JP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Sheet1!$B$1:$F$1</c:f>
              <c:strCache>
                <c:ptCount val="5"/>
                <c:pt idx="0">
                  <c:v>平成28年度</c:v>
                </c:pt>
                <c:pt idx="1">
                  <c:v>平成29年度</c:v>
                </c:pt>
                <c:pt idx="2">
                  <c:v>平成30年度</c:v>
                </c:pt>
                <c:pt idx="3">
                  <c:v>令和元年度</c:v>
                </c:pt>
                <c:pt idx="4">
                  <c:v>令和２年度</c:v>
                </c:pt>
              </c:strCache>
            </c:strRef>
          </c:cat>
          <c:val>
            <c:numRef>
              <c:f>Sheet1!$B$2:$F$2</c:f>
              <c:numCache>
                <c:formatCode>#,##0;[Red]#,##0</c:formatCode>
                <c:ptCount val="5"/>
                <c:pt idx="0">
                  <c:v>9912700</c:v>
                </c:pt>
                <c:pt idx="1">
                  <c:v>18408062</c:v>
                </c:pt>
                <c:pt idx="2">
                  <c:v>11058300</c:v>
                </c:pt>
                <c:pt idx="3">
                  <c:v>7290500</c:v>
                </c:pt>
                <c:pt idx="4">
                  <c:v>7634000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168D-4E63-98A3-C69076A05325}"/>
            </c:ext>
          </c:extLst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償還金(元金償還額）</c:v>
                </c:pt>
              </c:strCache>
            </c:strRef>
          </c:tx>
          <c:spPr>
            <a:solidFill>
              <a:schemeClr val="bg1"/>
            </a:solidFill>
            <a:ln w="12700">
              <a:solidFill>
                <a:schemeClr val="tx1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2.1322126977895078E-2"/>
                  <c:y val="4.0661088286773209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168D-4E63-98A3-C69076A05325}"/>
                </c:ext>
              </c:extLst>
            </c:dLbl>
            <c:dLbl>
              <c:idx val="1"/>
              <c:layout>
                <c:manualLayout>
                  <c:x val="1.7682000276281255E-2"/>
                  <c:y val="5.2513241416500241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168D-4E63-98A3-C69076A05325}"/>
                </c:ext>
              </c:extLst>
            </c:dLbl>
            <c:dLbl>
              <c:idx val="2"/>
              <c:layout>
                <c:manualLayout>
                  <c:x val="2.0677309149837265E-2"/>
                  <c:y val="3.9043327651368015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8-168D-4E63-98A3-C69076A05325}"/>
                </c:ext>
              </c:extLst>
            </c:dLbl>
            <c:dLbl>
              <c:idx val="3"/>
              <c:layout>
                <c:manualLayout>
                  <c:x val="2.5167445020433557E-3"/>
                  <c:y val="-2.1638690984868912E-4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168D-4E63-98A3-C69076A05325}"/>
                </c:ext>
              </c:extLst>
            </c:dLbl>
            <c:dLbl>
              <c:idx val="4"/>
              <c:layout>
                <c:manualLayout>
                  <c:x val="9.8284120734906614E-3"/>
                  <c:y val="6.7203855290735191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A-168D-4E63-98A3-C69076A05325}"/>
                </c:ext>
              </c:extLst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ＭＳ Ｐ明朝"/>
                    <a:ea typeface="ＭＳ Ｐ明朝"/>
                    <a:cs typeface="ＭＳ Ｐ明朝"/>
                  </a:defRPr>
                </a:pPr>
                <a:endParaRPr lang="ja-JP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Sheet1!$B$1:$F$1</c:f>
              <c:strCache>
                <c:ptCount val="5"/>
                <c:pt idx="0">
                  <c:v>平成28年度</c:v>
                </c:pt>
                <c:pt idx="1">
                  <c:v>平成29年度</c:v>
                </c:pt>
                <c:pt idx="2">
                  <c:v>平成30年度</c:v>
                </c:pt>
                <c:pt idx="3">
                  <c:v>令和元年度</c:v>
                </c:pt>
                <c:pt idx="4">
                  <c:v>令和２年度</c:v>
                </c:pt>
              </c:strCache>
            </c:strRef>
          </c:cat>
          <c:val>
            <c:numRef>
              <c:f>Sheet1!$B$4:$F$4</c:f>
              <c:numCache>
                <c:formatCode>#,##0;[Red]#,##0</c:formatCode>
                <c:ptCount val="5"/>
                <c:pt idx="0">
                  <c:v>8848962</c:v>
                </c:pt>
                <c:pt idx="1">
                  <c:v>18336131</c:v>
                </c:pt>
                <c:pt idx="2">
                  <c:v>12770890</c:v>
                </c:pt>
                <c:pt idx="3">
                  <c:v>9568017</c:v>
                </c:pt>
                <c:pt idx="4">
                  <c:v>10184753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B-168D-4E63-98A3-C69076A0532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86074880"/>
        <c:axId val="86076416"/>
      </c:barChart>
      <c:lineChart>
        <c:grouping val="standard"/>
        <c:varyColors val="0"/>
        <c:ser>
          <c:idx val="0"/>
          <c:order val="1"/>
          <c:tx>
            <c:strRef>
              <c:f>Sheet1!$A$3</c:f>
              <c:strCache>
                <c:ptCount val="1"/>
                <c:pt idx="0">
                  <c:v>未償還金残高</c:v>
                </c:pt>
              </c:strCache>
            </c:strRef>
          </c:tx>
          <c:spPr>
            <a:ln w="12700">
              <a:solidFill>
                <a:srgbClr val="000080"/>
              </a:solidFill>
              <a:prstDash val="solid"/>
            </a:ln>
          </c:spPr>
          <c:marker>
            <c:symbol val="triangle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5.1760727508322772E-2"/>
                  <c:y val="-3.19852756362506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C-168D-4E63-98A3-C69076A05325}"/>
                </c:ext>
              </c:extLst>
            </c:dLbl>
            <c:dLbl>
              <c:idx val="1"/>
              <c:layout>
                <c:manualLayout>
                  <c:x val="-5.2900754593175892E-2"/>
                  <c:y val="-3.16800764025278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D-168D-4E63-98A3-C69076A05325}"/>
                </c:ext>
              </c:extLst>
            </c:dLbl>
            <c:dLbl>
              <c:idx val="2"/>
              <c:layout>
                <c:manualLayout>
                  <c:x val="-5.2468339895013122E-2"/>
                  <c:y val="-4.16429740243393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E-168D-4E63-98A3-C69076A05325}"/>
                </c:ext>
              </c:extLst>
            </c:dLbl>
            <c:dLbl>
              <c:idx val="3"/>
              <c:layout>
                <c:manualLayout>
                  <c:x val="-5.4669597509914215E-2"/>
                  <c:y val="-4.10362807957188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F-168D-4E63-98A3-C69076A05325}"/>
                </c:ext>
              </c:extLst>
            </c:dLbl>
            <c:dLbl>
              <c:idx val="4"/>
              <c:layout>
                <c:manualLayout>
                  <c:x val="-5.8443241469816276E-2"/>
                  <c:y val="-3.02768992241866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0-168D-4E63-98A3-C69076A05325}"/>
                </c:ext>
              </c:extLst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ＭＳ Ｐ明朝"/>
                    <a:ea typeface="ＭＳ Ｐ明朝"/>
                    <a:cs typeface="ＭＳ Ｐ明朝"/>
                  </a:defRPr>
                </a:pPr>
                <a:endParaRPr lang="ja-JP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Sheet1!$B$1:$F$1</c:f>
              <c:strCache>
                <c:ptCount val="5"/>
                <c:pt idx="0">
                  <c:v>平成28年度</c:v>
                </c:pt>
                <c:pt idx="1">
                  <c:v>平成29年度</c:v>
                </c:pt>
                <c:pt idx="2">
                  <c:v>平成30年度</c:v>
                </c:pt>
                <c:pt idx="3">
                  <c:v>令和元年度</c:v>
                </c:pt>
                <c:pt idx="4">
                  <c:v>令和２年度</c:v>
                </c:pt>
              </c:strCache>
            </c:strRef>
          </c:cat>
          <c:val>
            <c:numRef>
              <c:f>Sheet1!$B$3:$F$3</c:f>
              <c:numCache>
                <c:formatCode>#,##0;[Red]#,##0</c:formatCode>
                <c:ptCount val="5"/>
                <c:pt idx="0">
                  <c:v>112793072</c:v>
                </c:pt>
                <c:pt idx="1">
                  <c:v>112865003</c:v>
                </c:pt>
                <c:pt idx="2">
                  <c:v>111152413</c:v>
                </c:pt>
                <c:pt idx="3">
                  <c:v>108874896</c:v>
                </c:pt>
                <c:pt idx="4">
                  <c:v>106324143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11-168D-4E63-98A3-C69076A0532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86111360"/>
        <c:axId val="86112896"/>
      </c:lineChart>
      <c:catAx>
        <c:axId val="86074880"/>
        <c:scaling>
          <c:orientation val="minMax"/>
        </c:scaling>
        <c:delete val="0"/>
        <c:axPos val="b"/>
        <c:numFmt formatCode="General" sourceLinked="1"/>
        <c:majorTickMark val="in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ＭＳ ゴシック"/>
                <a:ea typeface="ＭＳ ゴシック"/>
                <a:cs typeface="ＭＳ ゴシック"/>
              </a:defRPr>
            </a:pPr>
            <a:endParaRPr lang="ja-JP"/>
          </a:p>
        </c:txPr>
        <c:crossAx val="86076416"/>
        <c:crosses val="autoZero"/>
        <c:auto val="0"/>
        <c:lblAlgn val="ctr"/>
        <c:lblOffset val="100"/>
        <c:tickLblSkip val="1"/>
        <c:tickMarkSkip val="1"/>
        <c:noMultiLvlLbl val="0"/>
      </c:catAx>
      <c:valAx>
        <c:axId val="86076416"/>
        <c:scaling>
          <c:orientation val="minMax"/>
          <c:max val="24000000"/>
          <c:min val="0"/>
        </c:scaling>
        <c:delete val="0"/>
        <c:axPos val="l"/>
        <c:title>
          <c:tx>
            <c:rich>
              <a:bodyPr rot="0" vert="wordArtVertRtl"/>
              <a:lstStyle/>
              <a:p>
                <a:pPr algn="ctr">
                  <a:defRPr sz="900" b="0" i="0" u="none" strike="noStrike" baseline="0">
                    <a:solidFill>
                      <a:srgbClr val="000000"/>
                    </a:solidFill>
                    <a:latin typeface="ＭＳ ゴシック"/>
                    <a:ea typeface="ＭＳ ゴシック"/>
                    <a:cs typeface="ＭＳ ゴシック"/>
                  </a:defRPr>
                </a:pPr>
                <a:r>
                  <a:rPr lang="ja-JP" altLang="en-US"/>
                  <a:t>市債・償還金</a:t>
                </a:r>
              </a:p>
            </c:rich>
          </c:tx>
          <c:layout>
            <c:manualLayout>
              <c:xMode val="edge"/>
              <c:yMode val="edge"/>
              <c:x val="1.5723270440251781E-3"/>
              <c:y val="0.23050847457627832"/>
            </c:manualLayout>
          </c:layout>
          <c:overlay val="0"/>
          <c:spPr>
            <a:noFill/>
            <a:ln w="25400">
              <a:noFill/>
            </a:ln>
          </c:spPr>
        </c:title>
        <c:numFmt formatCode="#,##0;[Red]#,##0" sourceLinked="1"/>
        <c:majorTickMark val="in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ＭＳ Ｐゴシック"/>
                <a:ea typeface="ＭＳ Ｐゴシック"/>
                <a:cs typeface="ＭＳ Ｐゴシック"/>
              </a:defRPr>
            </a:pPr>
            <a:endParaRPr lang="ja-JP"/>
          </a:p>
        </c:txPr>
        <c:crossAx val="86074880"/>
        <c:crosses val="autoZero"/>
        <c:crossBetween val="between"/>
        <c:majorUnit val="3000000"/>
        <c:minorUnit val="3000000"/>
      </c:valAx>
      <c:catAx>
        <c:axId val="86111360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one"/>
        <c:crossAx val="86112896"/>
        <c:crosses val="autoZero"/>
        <c:auto val="0"/>
        <c:lblAlgn val="ctr"/>
        <c:lblOffset val="100"/>
        <c:noMultiLvlLbl val="0"/>
      </c:catAx>
      <c:valAx>
        <c:axId val="86112896"/>
        <c:scaling>
          <c:orientation val="minMax"/>
          <c:max val="120000000"/>
          <c:min val="0"/>
        </c:scaling>
        <c:delete val="0"/>
        <c:axPos val="r"/>
        <c:title>
          <c:tx>
            <c:rich>
              <a:bodyPr rot="0" vert="wordArtVertRtl"/>
              <a:lstStyle/>
              <a:p>
                <a:pPr algn="ctr">
                  <a:defRPr sz="900" b="0" i="0" u="none" strike="noStrike" baseline="0">
                    <a:solidFill>
                      <a:srgbClr val="000000"/>
                    </a:solidFill>
                    <a:latin typeface="ＭＳ ゴシック"/>
                    <a:ea typeface="ＭＳ ゴシック"/>
                    <a:cs typeface="ＭＳ ゴシック"/>
                  </a:defRPr>
                </a:pPr>
                <a:r>
                  <a:rPr lang="ja-JP" altLang="en-US"/>
                  <a:t>未償還金残高</a:t>
                </a:r>
              </a:p>
            </c:rich>
          </c:tx>
          <c:layout>
            <c:manualLayout>
              <c:xMode val="edge"/>
              <c:yMode val="edge"/>
              <c:x val="0.97165879265091881"/>
              <c:y val="0.23389822719762157"/>
            </c:manualLayout>
          </c:layout>
          <c:overlay val="0"/>
          <c:spPr>
            <a:noFill/>
            <a:ln w="25400">
              <a:noFill/>
            </a:ln>
          </c:spPr>
        </c:title>
        <c:numFmt formatCode="#,##0;[Red]#,##0" sourceLinked="1"/>
        <c:majorTickMark val="in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ＭＳ Ｐゴシック"/>
                <a:ea typeface="ＭＳ Ｐゴシック"/>
                <a:cs typeface="ＭＳ Ｐゴシック"/>
              </a:defRPr>
            </a:pPr>
            <a:endParaRPr lang="ja-JP"/>
          </a:p>
        </c:txPr>
        <c:crossAx val="86111360"/>
        <c:crosses val="max"/>
        <c:crossBetween val="between"/>
        <c:majorUnit val="20000000"/>
        <c:minorUnit val="20000000"/>
      </c:valAx>
      <c:spPr>
        <a:noFill/>
        <a:ln w="25400">
          <a:noFill/>
        </a:ln>
      </c:spPr>
    </c:plotArea>
    <c:legend>
      <c:legendPos val="b"/>
      <c:layout>
        <c:manualLayout>
          <c:xMode val="edge"/>
          <c:yMode val="edge"/>
          <c:x val="0.14889152244704407"/>
          <c:y val="0.8765668129122236"/>
          <c:w val="0.69811320754716977"/>
          <c:h val="8.4745762711869052E-2"/>
        </c:manualLayout>
      </c:layout>
      <c:overlay val="0"/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825" b="0" i="0" u="none" strike="noStrike" baseline="0">
              <a:solidFill>
                <a:srgbClr val="000000"/>
              </a:solidFill>
              <a:latin typeface="ＭＳ ゴシック" pitchFamily="49" charset="-128"/>
              <a:ea typeface="ＭＳ ゴシック" pitchFamily="49" charset="-128"/>
              <a:cs typeface="ＭＳ 明朝"/>
            </a:defRPr>
          </a:pPr>
          <a:endParaRPr lang="ja-JP"/>
        </a:p>
      </c:txPr>
    </c:legend>
    <c:plotVisOnly val="1"/>
    <c:dispBlanksAs val="gap"/>
    <c:showDLblsOverMax val="0"/>
  </c:chart>
  <c:spPr>
    <a:solidFill>
      <a:srgbClr val="FFFFFF"/>
    </a:solidFill>
    <a:ln w="3175">
      <a:solidFill>
        <a:srgbClr val="000000"/>
      </a:solidFill>
      <a:prstDash val="solid"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ＭＳ 明朝"/>
          <a:ea typeface="ＭＳ 明朝"/>
          <a:cs typeface="ＭＳ 明朝"/>
        </a:defRPr>
      </a:pPr>
      <a:endParaRPr lang="ja-JP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042869-762F-4211-9999-56EAD7969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1898</TotalTime>
  <Pages>9</Pages>
  <Words>435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高岡市</dc:creator>
  <cp:lastModifiedBy>高岡市</cp:lastModifiedBy>
  <cp:revision>145</cp:revision>
  <cp:lastPrinted>2021-08-11T05:09:00Z</cp:lastPrinted>
  <dcterms:created xsi:type="dcterms:W3CDTF">2020-07-20T04:55:00Z</dcterms:created>
  <dcterms:modified xsi:type="dcterms:W3CDTF">2022-08-16T04:55:00Z</dcterms:modified>
</cp:coreProperties>
</file>