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C22" w:rsidRPr="00255786" w:rsidRDefault="00373E0F" w:rsidP="00DD0C22">
      <w:pPr>
        <w:kinsoku w:val="0"/>
        <w:overflowPunct w:val="0"/>
        <w:snapToGrid w:val="0"/>
        <w:spacing w:line="240" w:lineRule="auto"/>
        <w:ind w:firstLineChars="100" w:firstLine="240"/>
        <w:rPr>
          <w:rFonts w:ascii="ＭＳ ゴシック" w:eastAsia="ＭＳ ゴシック" w:hAnsi="ＭＳ ゴシック"/>
          <w:color w:val="0070C0"/>
          <w:szCs w:val="24"/>
        </w:rPr>
      </w:pPr>
      <w:r>
        <w:rPr>
          <w:rFonts w:ascii="ＭＳ ゴシック" w:eastAsia="ＭＳ ゴシック" w:hAnsi="ＭＳ ゴシック" w:hint="eastAsia"/>
          <w:szCs w:val="24"/>
        </w:rPr>
        <w:t>２</w:t>
      </w:r>
      <w:r w:rsidR="00DD0C22" w:rsidRPr="002557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歳　　出</w:t>
      </w: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ind w:firstLineChars="200" w:firstLine="480"/>
        <w:rPr>
          <w:rFonts w:ascii="ＭＳ ゴシック" w:eastAsia="ＭＳ ゴシック" w:hAnsi="ＭＳ ゴシック"/>
          <w:szCs w:val="24"/>
        </w:rPr>
      </w:pPr>
      <w:r w:rsidRPr="00373E0F">
        <w:rPr>
          <w:rFonts w:ascii="ＭＳ ゴシック" w:eastAsia="ＭＳ ゴシック" w:hAnsi="ＭＳ ゴシック" w:hint="eastAsia"/>
          <w:kern w:val="2"/>
          <w:szCs w:val="24"/>
        </w:rPr>
        <w:t>⑴　歳出の状況</w:t>
      </w:r>
    </w:p>
    <w:p w:rsidR="00F810D6" w:rsidRDefault="00373E0F" w:rsidP="00F810D6">
      <w:pPr>
        <w:kinsoku w:val="0"/>
        <w:overflowPunct w:val="0"/>
        <w:snapToGrid w:val="0"/>
        <w:spacing w:line="240" w:lineRule="auto"/>
        <w:ind w:leftChars="300" w:left="720" w:firstLineChars="100" w:firstLine="240"/>
        <w:jc w:val="distribute"/>
        <w:rPr>
          <w:rFonts w:hAnsi="ＭＳ 明朝"/>
          <w:szCs w:val="24"/>
        </w:rPr>
      </w:pPr>
      <w:r w:rsidRPr="00654FC7">
        <w:rPr>
          <w:rFonts w:hAnsi="ＭＳ 明朝" w:hint="eastAsia"/>
          <w:szCs w:val="24"/>
        </w:rPr>
        <w:t>当年度の歳出決算額は</w:t>
      </w:r>
      <w:r w:rsidR="00885963">
        <w:rPr>
          <w:rFonts w:hAnsi="ＭＳ 明朝" w:hint="eastAsia"/>
          <w:szCs w:val="24"/>
        </w:rPr>
        <w:t>72,625,009</w:t>
      </w:r>
      <w:r w:rsidRPr="00654FC7">
        <w:rPr>
          <w:rFonts w:hAnsi="ＭＳ 明朝" w:hint="eastAsia"/>
          <w:szCs w:val="24"/>
        </w:rPr>
        <w:t>千円で、予算現額</w:t>
      </w:r>
      <w:r w:rsidR="00885963">
        <w:rPr>
          <w:rFonts w:hAnsi="ＭＳ 明朝" w:hint="eastAsia"/>
          <w:szCs w:val="24"/>
        </w:rPr>
        <w:t>81,378,296</w:t>
      </w:r>
      <w:r w:rsidRPr="00654FC7">
        <w:rPr>
          <w:rFonts w:hAnsi="ＭＳ 明朝" w:hint="eastAsia"/>
          <w:szCs w:val="24"/>
        </w:rPr>
        <w:t>千円に対して</w:t>
      </w:r>
    </w:p>
    <w:p w:rsidR="00373E0F" w:rsidRPr="00654FC7" w:rsidRDefault="00373E0F" w:rsidP="00F810D6">
      <w:pPr>
        <w:kinsoku w:val="0"/>
        <w:overflowPunct w:val="0"/>
        <w:snapToGrid w:val="0"/>
        <w:spacing w:line="240" w:lineRule="auto"/>
        <w:ind w:firstLineChars="300" w:firstLine="720"/>
        <w:rPr>
          <w:rFonts w:ascii="ＭＳ ゴシック" w:eastAsia="ＭＳ ゴシック" w:hAnsi="ＭＳ ゴシック"/>
          <w:szCs w:val="24"/>
        </w:rPr>
      </w:pPr>
      <w:r w:rsidRPr="00654FC7">
        <w:rPr>
          <w:rFonts w:hAnsi="ＭＳ 明朝" w:hint="eastAsia"/>
          <w:szCs w:val="24"/>
        </w:rPr>
        <w:t>執行率は</w:t>
      </w:r>
      <w:r w:rsidR="00885963">
        <w:rPr>
          <w:rFonts w:hAnsi="ＭＳ 明朝" w:hint="eastAsia"/>
          <w:szCs w:val="24"/>
        </w:rPr>
        <w:t>89</w:t>
      </w:r>
      <w:r w:rsidR="00C71DFC">
        <w:rPr>
          <w:rFonts w:hAnsi="ＭＳ 明朝" w:hint="eastAsia"/>
          <w:szCs w:val="24"/>
        </w:rPr>
        <w:t>.</w:t>
      </w:r>
      <w:r w:rsidR="00885963">
        <w:rPr>
          <w:rFonts w:hAnsi="ＭＳ 明朝" w:hint="eastAsia"/>
          <w:szCs w:val="24"/>
        </w:rPr>
        <w:t>2</w:t>
      </w:r>
      <w:r w:rsidRPr="00654FC7">
        <w:rPr>
          <w:rFonts w:hAnsi="ＭＳ 明朝" w:hint="eastAsia"/>
          <w:szCs w:val="24"/>
        </w:rPr>
        <w:t>％(前年度</w:t>
      </w:r>
      <w:r w:rsidR="00885963">
        <w:rPr>
          <w:rFonts w:hAnsi="ＭＳ 明朝" w:hint="eastAsia"/>
          <w:szCs w:val="24"/>
        </w:rPr>
        <w:t>92.7</w:t>
      </w:r>
      <w:r w:rsidRPr="00654FC7">
        <w:rPr>
          <w:rFonts w:hAnsi="ＭＳ 明朝" w:hint="eastAsia"/>
          <w:szCs w:val="24"/>
        </w:rPr>
        <w:t>％)となっている。</w:t>
      </w:r>
    </w:p>
    <w:p w:rsidR="00373E0F" w:rsidRPr="00654FC7" w:rsidRDefault="00373E0F" w:rsidP="00373E0F">
      <w:pPr>
        <w:kinsoku w:val="0"/>
        <w:overflowPunct w:val="0"/>
        <w:snapToGrid w:val="0"/>
        <w:spacing w:line="240" w:lineRule="auto"/>
        <w:ind w:firstLineChars="400" w:firstLine="960"/>
        <w:rPr>
          <w:rFonts w:hAnsi="ＭＳ 明朝"/>
          <w:szCs w:val="24"/>
        </w:rPr>
      </w:pPr>
      <w:r w:rsidRPr="00654FC7">
        <w:rPr>
          <w:rFonts w:hAnsi="ＭＳ 明朝" w:hint="eastAsia"/>
          <w:szCs w:val="24"/>
        </w:rPr>
        <w:t>支出済額は前年度に比べ</w:t>
      </w:r>
      <w:r w:rsidR="00885963">
        <w:rPr>
          <w:rFonts w:hAnsi="ＭＳ 明朝" w:hint="eastAsia"/>
          <w:szCs w:val="24"/>
        </w:rPr>
        <w:t>4,168,438</w:t>
      </w:r>
      <w:r w:rsidRPr="00654FC7">
        <w:rPr>
          <w:rFonts w:hAnsi="ＭＳ 明朝" w:hint="eastAsia"/>
          <w:szCs w:val="24"/>
        </w:rPr>
        <w:t>千円</w:t>
      </w:r>
      <w:r w:rsidR="007B5FC8">
        <w:rPr>
          <w:rFonts w:hAnsi="ＭＳ 明朝" w:hint="eastAsia"/>
          <w:szCs w:val="24"/>
        </w:rPr>
        <w:t>(</w:t>
      </w:r>
      <w:r w:rsidR="00885963">
        <w:rPr>
          <w:rFonts w:hAnsi="ＭＳ 明朝" w:hint="eastAsia"/>
          <w:szCs w:val="24"/>
        </w:rPr>
        <w:t>6</w:t>
      </w:r>
      <w:r w:rsidR="00432FF3">
        <w:rPr>
          <w:rFonts w:hAnsi="ＭＳ 明朝" w:hint="eastAsia"/>
          <w:szCs w:val="24"/>
        </w:rPr>
        <w:t>.</w:t>
      </w:r>
      <w:r w:rsidR="00885963">
        <w:rPr>
          <w:rFonts w:hAnsi="ＭＳ 明朝" w:hint="eastAsia"/>
          <w:szCs w:val="24"/>
        </w:rPr>
        <w:t>1</w:t>
      </w:r>
      <w:r w:rsidRPr="00654FC7">
        <w:rPr>
          <w:rFonts w:hAnsi="ＭＳ 明朝" w:hint="eastAsia"/>
          <w:szCs w:val="24"/>
        </w:rPr>
        <w:t>％)</w:t>
      </w:r>
      <w:r w:rsidR="00885963">
        <w:rPr>
          <w:rFonts w:hAnsi="ＭＳ 明朝" w:hint="eastAsia"/>
          <w:szCs w:val="24"/>
        </w:rPr>
        <w:t>増加</w:t>
      </w:r>
      <w:r w:rsidRPr="00654FC7">
        <w:rPr>
          <w:rFonts w:hAnsi="ＭＳ 明朝" w:hint="eastAsia"/>
          <w:szCs w:val="24"/>
        </w:rPr>
        <w:t>している。</w:t>
      </w:r>
    </w:p>
    <w:p w:rsidR="00F60A27" w:rsidRPr="00D91F67" w:rsidRDefault="00935FFA" w:rsidP="00484D77">
      <w:pPr>
        <w:kinsoku w:val="0"/>
        <w:overflowPunct w:val="0"/>
        <w:snapToGrid w:val="0"/>
        <w:spacing w:line="240" w:lineRule="auto"/>
        <w:ind w:leftChars="300" w:left="720" w:firstLineChars="100" w:firstLine="240"/>
        <w:rPr>
          <w:rFonts w:hAnsi="ＭＳ 明朝"/>
          <w:szCs w:val="24"/>
        </w:rPr>
      </w:pPr>
      <w:r w:rsidRPr="00484D77">
        <w:rPr>
          <w:rFonts w:hAnsi="ＭＳ 明朝" w:hint="eastAsia"/>
          <w:szCs w:val="24"/>
          <w:fitText w:val="8880" w:id="673977344"/>
        </w:rPr>
        <w:t>これは主に</w:t>
      </w:r>
      <w:r w:rsidR="00F810D6" w:rsidRPr="00484D77">
        <w:rPr>
          <w:rFonts w:hAnsi="ＭＳ 明朝" w:hint="eastAsia"/>
          <w:szCs w:val="24"/>
          <w:fitText w:val="8880" w:id="673977344"/>
        </w:rPr>
        <w:t>、</w:t>
      </w:r>
      <w:r w:rsidR="00D91F67" w:rsidRPr="00484D77">
        <w:rPr>
          <w:rFonts w:hAnsi="ＭＳ 明朝" w:hint="eastAsia"/>
          <w:szCs w:val="24"/>
          <w:fitText w:val="8880" w:id="673977344"/>
        </w:rPr>
        <w:t>衛生</w:t>
      </w:r>
      <w:r w:rsidR="00F60A27" w:rsidRPr="00484D77">
        <w:rPr>
          <w:rFonts w:hAnsi="ＭＳ 明朝" w:hint="eastAsia"/>
          <w:szCs w:val="24"/>
          <w:fitText w:val="8880" w:id="673977344"/>
        </w:rPr>
        <w:t>費で</w:t>
      </w:r>
      <w:r w:rsidR="00D91F67" w:rsidRPr="00484D77">
        <w:rPr>
          <w:rFonts w:hAnsi="ＭＳ 明朝" w:hint="eastAsia"/>
          <w:szCs w:val="24"/>
          <w:fitText w:val="8880" w:id="673977344"/>
        </w:rPr>
        <w:t>1,763,274</w:t>
      </w:r>
      <w:r w:rsidR="00F60A27" w:rsidRPr="00484D77">
        <w:rPr>
          <w:rFonts w:hAnsi="ＭＳ 明朝" w:hint="eastAsia"/>
          <w:szCs w:val="24"/>
          <w:fitText w:val="8880" w:id="673977344"/>
        </w:rPr>
        <w:t>千円(</w:t>
      </w:r>
      <w:r w:rsidR="00D91F67" w:rsidRPr="00484D77">
        <w:rPr>
          <w:rFonts w:hAnsi="ＭＳ 明朝" w:hint="eastAsia"/>
          <w:szCs w:val="24"/>
          <w:fitText w:val="8880" w:id="673977344"/>
        </w:rPr>
        <w:t>38</w:t>
      </w:r>
      <w:r w:rsidR="00432FF3" w:rsidRPr="00484D77">
        <w:rPr>
          <w:rFonts w:hAnsi="ＭＳ 明朝" w:hint="eastAsia"/>
          <w:szCs w:val="24"/>
          <w:fitText w:val="8880" w:id="673977344"/>
        </w:rPr>
        <w:t>.</w:t>
      </w:r>
      <w:r w:rsidR="00D91F67" w:rsidRPr="00484D77">
        <w:rPr>
          <w:rFonts w:hAnsi="ＭＳ 明朝" w:hint="eastAsia"/>
          <w:szCs w:val="24"/>
          <w:fitText w:val="8880" w:id="673977344"/>
        </w:rPr>
        <w:t>4</w:t>
      </w:r>
      <w:r w:rsidR="00F60A27" w:rsidRPr="00484D77">
        <w:rPr>
          <w:rFonts w:hAnsi="ＭＳ 明朝" w:hint="eastAsia"/>
          <w:szCs w:val="24"/>
          <w:fitText w:val="8880" w:id="673977344"/>
        </w:rPr>
        <w:t>％)</w:t>
      </w:r>
      <w:r w:rsidR="007B5FC8" w:rsidRPr="00484D77">
        <w:rPr>
          <w:rFonts w:hAnsi="ＭＳ 明朝" w:hint="eastAsia"/>
          <w:szCs w:val="24"/>
          <w:fitText w:val="8880" w:id="673977344"/>
        </w:rPr>
        <w:t>、</w:t>
      </w:r>
      <w:r w:rsidR="00D91F67" w:rsidRPr="00484D77">
        <w:rPr>
          <w:rFonts w:hAnsi="ＭＳ 明朝" w:hint="eastAsia"/>
          <w:szCs w:val="24"/>
          <w:fitText w:val="8880" w:id="673977344"/>
        </w:rPr>
        <w:t>土木</w:t>
      </w:r>
      <w:r w:rsidR="00F60A27" w:rsidRPr="00484D77">
        <w:rPr>
          <w:rFonts w:hAnsi="ＭＳ 明朝" w:hint="eastAsia"/>
          <w:szCs w:val="24"/>
          <w:fitText w:val="8880" w:id="673977344"/>
        </w:rPr>
        <w:t>費で</w:t>
      </w:r>
      <w:r w:rsidR="00D91F67" w:rsidRPr="00484D77">
        <w:rPr>
          <w:rFonts w:hAnsi="ＭＳ 明朝" w:hint="eastAsia"/>
          <w:szCs w:val="24"/>
          <w:fitText w:val="8880" w:id="673977344"/>
        </w:rPr>
        <w:t>1,708,833</w:t>
      </w:r>
      <w:r w:rsidR="00F60A27" w:rsidRPr="00484D77">
        <w:rPr>
          <w:rFonts w:hAnsi="ＭＳ 明朝" w:hint="eastAsia"/>
          <w:szCs w:val="24"/>
          <w:fitText w:val="8880" w:id="673977344"/>
        </w:rPr>
        <w:t>千円(</w:t>
      </w:r>
      <w:r w:rsidR="00D91F67" w:rsidRPr="00484D77">
        <w:rPr>
          <w:rFonts w:hAnsi="ＭＳ 明朝" w:hint="eastAsia"/>
          <w:szCs w:val="24"/>
          <w:fitText w:val="8880" w:id="673977344"/>
        </w:rPr>
        <w:t>18</w:t>
      </w:r>
      <w:r w:rsidR="003353F4" w:rsidRPr="00484D77">
        <w:rPr>
          <w:rFonts w:hAnsi="ＭＳ 明朝" w:hint="eastAsia"/>
          <w:szCs w:val="24"/>
          <w:fitText w:val="8880" w:id="673977344"/>
        </w:rPr>
        <w:t>.</w:t>
      </w:r>
      <w:r w:rsidR="00D91F67" w:rsidRPr="00484D77">
        <w:rPr>
          <w:rFonts w:hAnsi="ＭＳ 明朝" w:hint="eastAsia"/>
          <w:szCs w:val="24"/>
          <w:fitText w:val="8880" w:id="673977344"/>
        </w:rPr>
        <w:t>1</w:t>
      </w:r>
      <w:r w:rsidR="00F60A27" w:rsidRPr="00484D77">
        <w:rPr>
          <w:rFonts w:hAnsi="ＭＳ 明朝" w:hint="eastAsia"/>
          <w:szCs w:val="24"/>
          <w:fitText w:val="8880" w:id="673977344"/>
        </w:rPr>
        <w:t>％</w:t>
      </w:r>
      <w:r w:rsidR="00D40067" w:rsidRPr="00484D77">
        <w:rPr>
          <w:rFonts w:hAnsi="ＭＳ 明朝" w:hint="eastAsia"/>
          <w:szCs w:val="24"/>
          <w:fitText w:val="8880" w:id="673977344"/>
        </w:rPr>
        <w:t>)</w:t>
      </w:r>
      <w:r w:rsidR="00F60A27" w:rsidRPr="00484D77">
        <w:rPr>
          <w:rFonts w:hAnsi="ＭＳ 明朝" w:hint="eastAsia"/>
          <w:szCs w:val="24"/>
          <w:fitText w:val="8880" w:id="673977344"/>
        </w:rPr>
        <w:t>、</w:t>
      </w:r>
    </w:p>
    <w:p w:rsidR="005552A3" w:rsidRPr="005552A3" w:rsidRDefault="007B5FC8" w:rsidP="005552A3">
      <w:pPr>
        <w:kinsoku w:val="0"/>
        <w:overflowPunct w:val="0"/>
        <w:snapToGrid w:val="0"/>
        <w:spacing w:line="240" w:lineRule="auto"/>
        <w:ind w:left="720" w:hangingChars="300" w:hanging="720"/>
        <w:rPr>
          <w:rFonts w:hAnsi="ＭＳ 明朝"/>
          <w:szCs w:val="24"/>
        </w:rPr>
      </w:pPr>
      <w:r w:rsidRPr="00D91F67">
        <w:rPr>
          <w:rFonts w:hAnsi="ＭＳ 明朝" w:hint="eastAsia"/>
          <w:szCs w:val="24"/>
        </w:rPr>
        <w:t xml:space="preserve">　　　</w:t>
      </w:r>
      <w:r w:rsidR="00D91F67" w:rsidRPr="00D91F67">
        <w:rPr>
          <w:rFonts w:hAnsi="ＭＳ 明朝" w:hint="eastAsia"/>
          <w:szCs w:val="24"/>
        </w:rPr>
        <w:t>民生</w:t>
      </w:r>
      <w:r w:rsidR="009E5570" w:rsidRPr="00D91F67">
        <w:rPr>
          <w:rFonts w:hAnsi="ＭＳ 明朝" w:hint="eastAsia"/>
          <w:spacing w:val="-20"/>
          <w:szCs w:val="24"/>
        </w:rPr>
        <w:t>費で</w:t>
      </w:r>
      <w:r w:rsidR="00D91F67" w:rsidRPr="00D91F67">
        <w:rPr>
          <w:rFonts w:hAnsi="ＭＳ 明朝" w:hint="eastAsia"/>
          <w:spacing w:val="-20"/>
          <w:szCs w:val="24"/>
        </w:rPr>
        <w:t>1,507,197</w:t>
      </w:r>
      <w:r w:rsidR="009E5570" w:rsidRPr="00D91F67">
        <w:rPr>
          <w:rFonts w:hAnsi="ＭＳ 明朝" w:hint="eastAsia"/>
          <w:spacing w:val="-20"/>
          <w:szCs w:val="24"/>
        </w:rPr>
        <w:t>千円(</w:t>
      </w:r>
      <w:r w:rsidR="00D91F67" w:rsidRPr="00D91F67">
        <w:rPr>
          <w:rFonts w:hAnsi="ＭＳ 明朝" w:hint="eastAsia"/>
          <w:spacing w:val="-20"/>
          <w:szCs w:val="24"/>
        </w:rPr>
        <w:t>6</w:t>
      </w:r>
      <w:r w:rsidR="003353F4" w:rsidRPr="00D91F67">
        <w:rPr>
          <w:rFonts w:hAnsi="ＭＳ 明朝" w:hint="eastAsia"/>
          <w:spacing w:val="-20"/>
          <w:szCs w:val="24"/>
        </w:rPr>
        <w:t>.</w:t>
      </w:r>
      <w:r w:rsidR="00D91F67" w:rsidRPr="00D91F67">
        <w:rPr>
          <w:rFonts w:hAnsi="ＭＳ 明朝" w:hint="eastAsia"/>
          <w:spacing w:val="-20"/>
          <w:szCs w:val="24"/>
        </w:rPr>
        <w:t>7</w:t>
      </w:r>
      <w:r w:rsidR="009E5570" w:rsidRPr="00D91F67">
        <w:rPr>
          <w:rFonts w:hAnsi="ＭＳ 明朝" w:hint="eastAsia"/>
          <w:spacing w:val="-20"/>
          <w:szCs w:val="24"/>
        </w:rPr>
        <w:t>％)</w:t>
      </w:r>
      <w:r w:rsidR="00D91F67">
        <w:rPr>
          <w:rFonts w:hAnsi="ＭＳ 明朝" w:hint="eastAsia"/>
          <w:spacing w:val="-20"/>
          <w:szCs w:val="24"/>
        </w:rPr>
        <w:t>増加</w:t>
      </w:r>
      <w:r w:rsidR="009E5570" w:rsidRPr="00D91F67">
        <w:rPr>
          <w:rFonts w:hAnsi="ＭＳ 明朝" w:hint="eastAsia"/>
          <w:spacing w:val="-20"/>
          <w:szCs w:val="24"/>
        </w:rPr>
        <w:t>した</w:t>
      </w:r>
      <w:r w:rsidR="005552A3" w:rsidRPr="00D91F67">
        <w:rPr>
          <w:rFonts w:hAnsi="ＭＳ 明朝" w:hint="eastAsia"/>
          <w:szCs w:val="24"/>
        </w:rPr>
        <w:t>ことによるものである。</w:t>
      </w:r>
    </w:p>
    <w:p w:rsidR="00373E0F" w:rsidRPr="00654FC7" w:rsidRDefault="00F60A27" w:rsidP="005552A3">
      <w:pPr>
        <w:kinsoku w:val="0"/>
        <w:overflowPunct w:val="0"/>
        <w:snapToGrid w:val="0"/>
        <w:spacing w:line="240" w:lineRule="auto"/>
        <w:ind w:firstLineChars="300" w:firstLine="26640"/>
        <w:jc w:val="left"/>
        <w:rPr>
          <w:rFonts w:hAnsi="ＭＳ 明朝"/>
          <w:szCs w:val="24"/>
        </w:rPr>
      </w:pPr>
      <w:r w:rsidRPr="005552A3">
        <w:rPr>
          <w:rFonts w:hAnsi="ＭＳ 明朝" w:hint="eastAsia"/>
          <w:spacing w:val="4320"/>
          <w:szCs w:val="24"/>
          <w:fitText w:val="9120" w:id="673976836"/>
        </w:rPr>
        <w:t>公</w:t>
      </w:r>
      <w:r w:rsidRPr="005552A3">
        <w:rPr>
          <w:rFonts w:hAnsi="ＭＳ 明朝" w:hint="eastAsia"/>
          <w:szCs w:val="24"/>
          <w:fitText w:val="9120" w:id="673976836"/>
        </w:rPr>
        <w:t>債</w:t>
      </w:r>
    </w:p>
    <w:p w:rsidR="00373E0F" w:rsidRPr="00B3023C" w:rsidRDefault="00373E0F" w:rsidP="00373E0F">
      <w:pPr>
        <w:kinsoku w:val="0"/>
        <w:overflowPunct w:val="0"/>
        <w:snapToGrid w:val="0"/>
        <w:spacing w:line="240" w:lineRule="auto"/>
        <w:rPr>
          <w:rFonts w:hAnsi="ＭＳ 明朝"/>
          <w:color w:val="FF0000"/>
          <w:szCs w:val="24"/>
        </w:rPr>
      </w:pP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rPr>
          <w:rFonts w:hAnsi="ＭＳ 明朝"/>
          <w:snapToGrid w:val="0"/>
          <w:szCs w:val="24"/>
        </w:rPr>
      </w:pPr>
    </w:p>
    <w:p w:rsidR="00DD0C22" w:rsidRDefault="00DD0C22" w:rsidP="00DD0C22">
      <w:pPr>
        <w:kinsoku w:val="0"/>
        <w:overflowPunct w:val="0"/>
        <w:snapToGrid w:val="0"/>
        <w:spacing w:line="240" w:lineRule="auto"/>
        <w:ind w:firstLineChars="200" w:firstLine="480"/>
        <w:rPr>
          <w:rFonts w:hAnsi="ＭＳ 明朝"/>
          <w:szCs w:val="24"/>
        </w:rPr>
      </w:pPr>
      <w:r w:rsidRPr="00C92B14">
        <w:rPr>
          <w:rFonts w:asciiTheme="majorEastAsia" w:eastAsiaTheme="majorEastAsia" w:hAnsiTheme="majorEastAsia" w:hint="eastAsia"/>
          <w:snapToGrid w:val="0"/>
          <w:szCs w:val="24"/>
        </w:rPr>
        <w:t>一般会計</w:t>
      </w:r>
      <w:r w:rsidR="00373E0F" w:rsidRPr="00C92B14">
        <w:rPr>
          <w:rFonts w:asciiTheme="majorEastAsia" w:eastAsiaTheme="majorEastAsia" w:hAnsiTheme="majorEastAsia" w:hint="eastAsia"/>
          <w:snapToGrid w:val="0"/>
          <w:szCs w:val="24"/>
        </w:rPr>
        <w:t>歳出</w:t>
      </w:r>
      <w:r w:rsidRPr="00C92B14">
        <w:rPr>
          <w:rFonts w:asciiTheme="majorEastAsia" w:eastAsiaTheme="majorEastAsia" w:hAnsiTheme="majorEastAsia" w:hint="eastAsia"/>
          <w:snapToGrid w:val="0"/>
          <w:szCs w:val="24"/>
        </w:rPr>
        <w:t>款別構成状況</w:t>
      </w:r>
      <w:r w:rsidRPr="00DD0C22">
        <w:rPr>
          <w:rFonts w:hAnsi="ＭＳ 明朝" w:hint="eastAsia"/>
          <w:b/>
          <w:szCs w:val="24"/>
        </w:rPr>
        <w:t xml:space="preserve">　　　　　　　　　　　</w:t>
      </w:r>
      <w:r w:rsidRPr="00DD0C22">
        <w:rPr>
          <w:rFonts w:hAnsi="ＭＳ 明朝" w:hint="eastAsia"/>
          <w:szCs w:val="24"/>
        </w:rPr>
        <w:t xml:space="preserve">　　　　　　　（単位：％）</w:t>
      </w:r>
    </w:p>
    <w:p w:rsidR="00940888" w:rsidRPr="00DD0C22" w:rsidRDefault="00940888" w:rsidP="00DD0C22">
      <w:pPr>
        <w:kinsoku w:val="0"/>
        <w:overflowPunct w:val="0"/>
        <w:snapToGrid w:val="0"/>
        <w:spacing w:line="240" w:lineRule="auto"/>
        <w:ind w:firstLineChars="200" w:firstLine="480"/>
        <w:rPr>
          <w:rFonts w:hAnsi="ＭＳ 明朝"/>
          <w:color w:val="0070C0"/>
          <w:szCs w:val="24"/>
        </w:rPr>
      </w:pPr>
    </w:p>
    <w:p w:rsidR="00DD0C22" w:rsidRPr="00940888" w:rsidRDefault="00DD0C22" w:rsidP="00940888">
      <w:pPr>
        <w:kinsoku w:val="0"/>
        <w:overflowPunct w:val="0"/>
        <w:snapToGrid w:val="0"/>
        <w:spacing w:line="240" w:lineRule="auto"/>
        <w:jc w:val="center"/>
        <w:rPr>
          <w:rFonts w:ascii="ＭＳ ゴシック" w:eastAsia="ＭＳ ゴシック" w:hAnsi="ＭＳ ゴシック"/>
          <w:bCs/>
          <w:szCs w:val="24"/>
        </w:rPr>
      </w:pPr>
      <w:r w:rsidRPr="00885963">
        <w:rPr>
          <w:rFonts w:ascii="ＭＳ ゴシック" w:eastAsia="ＭＳ ゴシック" w:hAnsi="ＭＳ ゴシック"/>
          <w:bCs/>
          <w:szCs w:val="24"/>
        </w:rPr>
        <w:t>平成</w:t>
      </w:r>
      <w:r w:rsidR="002D3248" w:rsidRPr="00885963">
        <w:rPr>
          <w:rFonts w:ascii="ＭＳ ゴシック" w:eastAsia="ＭＳ ゴシック" w:hAnsi="ＭＳ ゴシック" w:hint="eastAsia"/>
          <w:bCs/>
          <w:szCs w:val="24"/>
        </w:rPr>
        <w:t>2</w:t>
      </w:r>
      <w:r w:rsidR="00097F9D" w:rsidRPr="00885963">
        <w:rPr>
          <w:rFonts w:ascii="ＭＳ ゴシック" w:eastAsia="ＭＳ ゴシック" w:hAnsi="ＭＳ ゴシック" w:hint="eastAsia"/>
          <w:bCs/>
          <w:szCs w:val="24"/>
        </w:rPr>
        <w:t>8</w:t>
      </w:r>
      <w:r w:rsidRPr="00885963">
        <w:rPr>
          <w:rFonts w:ascii="ＭＳ ゴシック" w:eastAsia="ＭＳ ゴシック" w:hAnsi="ＭＳ ゴシック"/>
          <w:bCs/>
          <w:szCs w:val="24"/>
        </w:rPr>
        <w:t>年度</w:t>
      </w:r>
      <w:r w:rsidR="00373E0F" w:rsidRPr="00885963">
        <w:rPr>
          <w:rFonts w:ascii="ＭＳ ゴシック" w:eastAsia="ＭＳ ゴシック" w:hAnsi="ＭＳ ゴシック" w:hint="eastAsia"/>
          <w:bCs/>
          <w:szCs w:val="24"/>
        </w:rPr>
        <w:t>歳出</w:t>
      </w:r>
      <w:r w:rsidRPr="00885963">
        <w:rPr>
          <w:rFonts w:ascii="ＭＳ ゴシック" w:eastAsia="ＭＳ ゴシック" w:hAnsi="ＭＳ ゴシック"/>
          <w:bCs/>
          <w:szCs w:val="24"/>
        </w:rPr>
        <w:t xml:space="preserve">決算額　</w:t>
      </w:r>
      <w:r w:rsidR="00885963" w:rsidRPr="00885963">
        <w:rPr>
          <w:rFonts w:ascii="ＭＳ ゴシック" w:eastAsia="ＭＳ ゴシック" w:hAnsi="ＭＳ ゴシック" w:hint="eastAsia"/>
          <w:bCs/>
          <w:szCs w:val="24"/>
        </w:rPr>
        <w:t>72,625,009</w:t>
      </w:r>
      <w:r w:rsidRPr="00885963">
        <w:rPr>
          <w:rFonts w:ascii="ＭＳ ゴシック" w:eastAsia="ＭＳ ゴシック" w:hAnsi="ＭＳ ゴシック"/>
          <w:bCs/>
          <w:szCs w:val="24"/>
        </w:rPr>
        <w:t>千円</w:t>
      </w:r>
    </w:p>
    <w:p w:rsidR="003E7FE5" w:rsidRPr="00940888" w:rsidRDefault="00E75789" w:rsidP="000307AE">
      <w:pPr>
        <w:spacing w:line="240" w:lineRule="auto"/>
        <w:rPr>
          <w:rFonts w:hAnsi="ＭＳ 明朝"/>
          <w:sz w:val="22"/>
          <w:szCs w:val="22"/>
        </w:rPr>
      </w:pPr>
      <w:r>
        <w:rPr>
          <w:rFonts w:hAnsi="ＭＳ 明朝"/>
          <w:noProof/>
          <w:szCs w:val="24"/>
        </w:rPr>
        <w:drawing>
          <wp:inline distT="0" distB="0" distL="0" distR="0">
            <wp:extent cx="6172200" cy="4086225"/>
            <wp:effectExtent l="0" t="0" r="0" b="0"/>
            <wp:docPr id="1" name="オブジェクト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0307AE">
        <w:rPr>
          <w:rFonts w:hAnsi="ＭＳ 明朝" w:hint="eastAsia"/>
          <w:szCs w:val="24"/>
        </w:rPr>
        <w:t xml:space="preserve">                                                        </w:t>
      </w:r>
      <w:r w:rsidR="00940888" w:rsidRPr="00940888">
        <w:rPr>
          <w:rFonts w:hAnsi="ＭＳ 明朝" w:hint="eastAsia"/>
          <w:sz w:val="22"/>
          <w:szCs w:val="22"/>
        </w:rPr>
        <w:t>※　(　)内は、</w:t>
      </w:r>
      <w:r w:rsidR="00BF0B68">
        <w:rPr>
          <w:rFonts w:hAnsi="ＭＳ 明朝" w:hint="eastAsia"/>
          <w:sz w:val="22"/>
          <w:szCs w:val="22"/>
        </w:rPr>
        <w:t>2</w:t>
      </w:r>
      <w:r w:rsidR="00097F9D">
        <w:rPr>
          <w:rFonts w:hAnsi="ＭＳ 明朝" w:hint="eastAsia"/>
          <w:sz w:val="22"/>
          <w:szCs w:val="22"/>
        </w:rPr>
        <w:t>7</w:t>
      </w:r>
      <w:r w:rsidR="00940888" w:rsidRPr="00940888">
        <w:rPr>
          <w:rFonts w:hAnsi="ＭＳ 明朝" w:hint="eastAsia"/>
          <w:sz w:val="22"/>
          <w:szCs w:val="22"/>
        </w:rPr>
        <w:t>年度数値</w:t>
      </w: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3353F4" w:rsidRDefault="003353F4" w:rsidP="000307AE">
      <w:pPr>
        <w:kinsoku w:val="0"/>
        <w:overflowPunct w:val="0"/>
        <w:snapToGrid w:val="0"/>
        <w:spacing w:line="240" w:lineRule="auto"/>
        <w:rPr>
          <w:rFonts w:ascii="ＭＳ ゴシック" w:eastAsia="ＭＳ ゴシック" w:hAnsi="ＭＳ ゴシック"/>
          <w:szCs w:val="24"/>
        </w:rPr>
      </w:pPr>
    </w:p>
    <w:p w:rsidR="0062344B" w:rsidRDefault="00B60D86" w:rsidP="00DC50CB">
      <w:pPr>
        <w:spacing w:line="240" w:lineRule="auto"/>
        <w:jc w:val="right"/>
        <w:rPr>
          <w:rFonts w:ascii="ＭＳ ゴシック" w:eastAsia="ＭＳ ゴシック" w:hAnsi="ＭＳ ゴシック"/>
          <w:szCs w:val="24"/>
        </w:rPr>
      </w:pPr>
      <w:r w:rsidRPr="00B60D86">
        <w:rPr>
          <w:rFonts w:ascii="ＭＳ ゴシック" w:eastAsia="ＭＳ ゴシック" w:hAnsi="ＭＳ ゴシック" w:hint="eastAsia"/>
          <w:szCs w:val="24"/>
        </w:rPr>
        <w:lastRenderedPageBreak/>
        <w:t>一</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般</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会</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計</w:t>
      </w:r>
      <w:r>
        <w:rPr>
          <w:rFonts w:ascii="ＭＳ ゴシック" w:eastAsia="ＭＳ ゴシック" w:hAnsi="ＭＳ ゴシック" w:hint="eastAsia"/>
          <w:szCs w:val="24"/>
        </w:rPr>
        <w:t xml:space="preserve">　</w:t>
      </w:r>
      <w:r w:rsidR="000307AE">
        <w:rPr>
          <w:rFonts w:ascii="ＭＳ ゴシック" w:eastAsia="ＭＳ ゴシック" w:hAnsi="ＭＳ ゴシック" w:hint="eastAsia"/>
          <w:szCs w:val="24"/>
        </w:rPr>
        <w:t>歳　出</w:t>
      </w:r>
    </w:p>
    <w:p w:rsidR="0062344B" w:rsidRDefault="0062344B" w:rsidP="00DC50CB">
      <w:pPr>
        <w:spacing w:line="240" w:lineRule="auto"/>
        <w:rPr>
          <w:rFonts w:hAnsi="ＭＳ 明朝"/>
          <w:szCs w:val="24"/>
        </w:rPr>
      </w:pPr>
    </w:p>
    <w:bookmarkStart w:id="0" w:name="_MON_1438688165"/>
    <w:bookmarkEnd w:id="0"/>
    <w:p w:rsidR="001D683C" w:rsidRDefault="00A44A0B" w:rsidP="001D683C">
      <w:pPr>
        <w:spacing w:line="240" w:lineRule="auto"/>
        <w:rPr>
          <w:rFonts w:hAnsi="ＭＳ 明朝"/>
          <w:szCs w:val="24"/>
        </w:rPr>
      </w:pPr>
      <w:r w:rsidRPr="0020002D">
        <w:rPr>
          <w:rFonts w:hAnsi="ＭＳ 明朝"/>
          <w:szCs w:val="24"/>
        </w:rPr>
        <w:object w:dxaOrig="10188" w:dyaOrig="8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85pt;height:401.3pt" o:ole="">
            <v:imagedata r:id="rId8" o:title=""/>
          </v:shape>
          <o:OLEObject Type="Embed" ProgID="Excel.Sheet.12" ShapeID="_x0000_i1025" DrawAspect="Content" ObjectID="_1568617405" r:id="rId9"/>
        </w:object>
      </w:r>
    </w:p>
    <w:p w:rsidR="00262A79" w:rsidRPr="00F50560" w:rsidRDefault="00A9426D" w:rsidP="00FC1344">
      <w:pPr>
        <w:spacing w:line="240" w:lineRule="auto"/>
        <w:ind w:firstLineChars="100" w:firstLine="240"/>
        <w:jc w:val="distribute"/>
        <w:rPr>
          <w:rFonts w:hAnsi="ＭＳ 明朝"/>
          <w:szCs w:val="24"/>
        </w:rPr>
      </w:pPr>
      <w:r w:rsidRPr="00F50560">
        <w:rPr>
          <w:rFonts w:hAnsi="ＭＳ 明朝" w:hint="eastAsia"/>
          <w:szCs w:val="24"/>
        </w:rPr>
        <w:t>当年度の各款の支出済額にかかる対前年度増減についての主な要因は、次のとおりで</w:t>
      </w:r>
    </w:p>
    <w:p w:rsidR="00A9426D" w:rsidRPr="00F50560" w:rsidRDefault="00A9426D" w:rsidP="00262A79">
      <w:pPr>
        <w:kinsoku w:val="0"/>
        <w:overflowPunct w:val="0"/>
        <w:snapToGrid w:val="0"/>
        <w:spacing w:line="240" w:lineRule="auto"/>
        <w:rPr>
          <w:rFonts w:hAnsi="ＭＳ 明朝"/>
          <w:szCs w:val="24"/>
        </w:rPr>
      </w:pPr>
      <w:r w:rsidRPr="00F50560">
        <w:rPr>
          <w:rFonts w:hAnsi="ＭＳ 明朝" w:hint="eastAsia"/>
          <w:szCs w:val="24"/>
        </w:rPr>
        <w:t>ある。</w:t>
      </w:r>
    </w:p>
    <w:p w:rsidR="005552A3" w:rsidRPr="007E44CD" w:rsidRDefault="005552A3" w:rsidP="00262A79">
      <w:pPr>
        <w:kinsoku w:val="0"/>
        <w:overflowPunct w:val="0"/>
        <w:snapToGrid w:val="0"/>
        <w:spacing w:line="240" w:lineRule="auto"/>
        <w:rPr>
          <w:rFonts w:hAnsi="ＭＳ 明朝"/>
          <w:szCs w:val="24"/>
        </w:rPr>
      </w:pPr>
      <w:r w:rsidRPr="00817E84">
        <w:rPr>
          <w:rFonts w:hAnsi="ＭＳ 明朝" w:hint="eastAsia"/>
          <w:szCs w:val="24"/>
        </w:rPr>
        <w:t xml:space="preserve">　民生費の</w:t>
      </w:r>
      <w:r w:rsidR="00F50560" w:rsidRPr="00817E84">
        <w:rPr>
          <w:rFonts w:hAnsi="ＭＳ 明朝" w:hint="eastAsia"/>
          <w:szCs w:val="24"/>
        </w:rPr>
        <w:t>増加</w:t>
      </w:r>
      <w:r w:rsidRPr="00817E84">
        <w:rPr>
          <w:rFonts w:hAnsi="ＭＳ 明朝" w:hint="eastAsia"/>
          <w:szCs w:val="24"/>
        </w:rPr>
        <w:t>の主な要因は、</w:t>
      </w:r>
      <w:r w:rsidR="00817E84" w:rsidRPr="00817E84">
        <w:rPr>
          <w:rFonts w:hAnsi="ＭＳ 明朝" w:hint="eastAsia"/>
          <w:szCs w:val="24"/>
        </w:rPr>
        <w:t>児童手当が減少したものの、</w:t>
      </w:r>
      <w:r w:rsidR="007E44CD">
        <w:rPr>
          <w:rFonts w:hAnsi="ＭＳ 明朝" w:hint="eastAsia"/>
          <w:szCs w:val="24"/>
        </w:rPr>
        <w:t>年金生活者等支援臨時福祉給付金、</w:t>
      </w:r>
      <w:r w:rsidR="007E44CD" w:rsidRPr="007E44CD">
        <w:rPr>
          <w:rFonts w:hAnsi="ＭＳ 明朝" w:hint="eastAsia"/>
          <w:szCs w:val="24"/>
        </w:rPr>
        <w:t>新牧野保育園（仮称）建設事業費</w:t>
      </w:r>
      <w:r w:rsidR="007E44CD">
        <w:rPr>
          <w:rFonts w:hAnsi="ＭＳ 明朝" w:hint="eastAsia"/>
          <w:szCs w:val="24"/>
        </w:rPr>
        <w:t>、</w:t>
      </w:r>
      <w:r w:rsidR="00817E84">
        <w:rPr>
          <w:rFonts w:hAnsi="ＭＳ 明朝" w:hint="eastAsia"/>
          <w:szCs w:val="24"/>
        </w:rPr>
        <w:t>私立保育所入所</w:t>
      </w:r>
      <w:r w:rsidR="00817E84" w:rsidRPr="007E44CD">
        <w:rPr>
          <w:rFonts w:hAnsi="ＭＳ 明朝" w:hint="eastAsia"/>
          <w:szCs w:val="24"/>
        </w:rPr>
        <w:t>運営委託費</w:t>
      </w:r>
      <w:r w:rsidR="007E44CD">
        <w:rPr>
          <w:rFonts w:hAnsi="ＭＳ 明朝" w:hint="eastAsia"/>
          <w:szCs w:val="24"/>
        </w:rPr>
        <w:t>、障害者自立支援費</w:t>
      </w:r>
      <w:r w:rsidR="00164CD8" w:rsidRPr="007E44CD">
        <w:rPr>
          <w:rFonts w:hAnsi="ＭＳ 明朝" w:hint="eastAsia"/>
          <w:szCs w:val="24"/>
        </w:rPr>
        <w:t>等</w:t>
      </w:r>
      <w:r w:rsidR="00E44D5E" w:rsidRPr="007E44CD">
        <w:rPr>
          <w:rFonts w:hAnsi="ＭＳ 明朝" w:hint="eastAsia"/>
          <w:szCs w:val="24"/>
        </w:rPr>
        <w:t>が</w:t>
      </w:r>
      <w:r w:rsidR="007E44CD" w:rsidRPr="007E44CD">
        <w:rPr>
          <w:rFonts w:hAnsi="ＭＳ 明朝" w:hint="eastAsia"/>
          <w:szCs w:val="24"/>
        </w:rPr>
        <w:t>増加</w:t>
      </w:r>
      <w:r w:rsidR="00E44D5E" w:rsidRPr="007E44CD">
        <w:rPr>
          <w:rFonts w:hAnsi="ＭＳ 明朝" w:hint="eastAsia"/>
          <w:szCs w:val="24"/>
        </w:rPr>
        <w:t>したことによるものである。</w:t>
      </w:r>
    </w:p>
    <w:p w:rsidR="00821B8F" w:rsidRPr="00930752" w:rsidRDefault="00930752" w:rsidP="00821B8F">
      <w:pPr>
        <w:kinsoku w:val="0"/>
        <w:overflowPunct w:val="0"/>
        <w:snapToGrid w:val="0"/>
        <w:spacing w:line="240" w:lineRule="auto"/>
        <w:rPr>
          <w:rFonts w:hAnsi="ＭＳ 明朝"/>
          <w:szCs w:val="24"/>
        </w:rPr>
      </w:pPr>
      <w:r w:rsidRPr="00930752">
        <w:rPr>
          <w:rFonts w:hAnsi="ＭＳ 明朝" w:hint="eastAsia"/>
          <w:szCs w:val="24"/>
        </w:rPr>
        <w:t xml:space="preserve">　衛生</w:t>
      </w:r>
      <w:r w:rsidR="00164CD8" w:rsidRPr="00930752">
        <w:rPr>
          <w:rFonts w:hAnsi="ＭＳ 明朝" w:hint="eastAsia"/>
          <w:szCs w:val="24"/>
        </w:rPr>
        <w:t>費の</w:t>
      </w:r>
      <w:r w:rsidRPr="00930752">
        <w:rPr>
          <w:rFonts w:hAnsi="ＭＳ 明朝" w:hint="eastAsia"/>
          <w:szCs w:val="24"/>
        </w:rPr>
        <w:t>増加</w:t>
      </w:r>
      <w:r w:rsidR="00164CD8" w:rsidRPr="00930752">
        <w:rPr>
          <w:rFonts w:hAnsi="ＭＳ 明朝" w:hint="eastAsia"/>
          <w:szCs w:val="24"/>
        </w:rPr>
        <w:t>の主な要因は、</w:t>
      </w:r>
      <w:r w:rsidRPr="00930752">
        <w:rPr>
          <w:rFonts w:hAnsi="ＭＳ 明朝" w:hint="eastAsia"/>
          <w:szCs w:val="24"/>
        </w:rPr>
        <w:t>ごみ減量化・資源化促進</w:t>
      </w:r>
      <w:r w:rsidR="00935979" w:rsidRPr="00930752">
        <w:rPr>
          <w:rFonts w:hAnsi="ＭＳ 明朝" w:hint="eastAsia"/>
          <w:szCs w:val="24"/>
        </w:rPr>
        <w:t>事業費</w:t>
      </w:r>
      <w:r w:rsidRPr="00930752">
        <w:rPr>
          <w:rFonts w:hAnsi="ＭＳ 明朝" w:hint="eastAsia"/>
          <w:szCs w:val="24"/>
        </w:rPr>
        <w:t>等</w:t>
      </w:r>
      <w:r w:rsidR="007F6F37" w:rsidRPr="00930752">
        <w:rPr>
          <w:rFonts w:hAnsi="ＭＳ 明朝" w:hint="eastAsia"/>
          <w:szCs w:val="24"/>
        </w:rPr>
        <w:t>が</w:t>
      </w:r>
      <w:r w:rsidRPr="00930752">
        <w:rPr>
          <w:rFonts w:hAnsi="ＭＳ 明朝" w:hint="eastAsia"/>
          <w:szCs w:val="24"/>
        </w:rPr>
        <w:t>減少</w:t>
      </w:r>
      <w:r w:rsidR="00E44D5E" w:rsidRPr="00930752">
        <w:rPr>
          <w:rFonts w:hAnsi="ＭＳ 明朝" w:hint="eastAsia"/>
          <w:szCs w:val="24"/>
        </w:rPr>
        <w:t>したものの、</w:t>
      </w:r>
      <w:r w:rsidRPr="00930752">
        <w:rPr>
          <w:rFonts w:hAnsi="ＭＳ 明朝" w:hint="eastAsia"/>
          <w:szCs w:val="24"/>
        </w:rPr>
        <w:t>統合看護専門学校整備推進</w:t>
      </w:r>
      <w:r w:rsidR="00935979" w:rsidRPr="00930752">
        <w:rPr>
          <w:rFonts w:hAnsi="ＭＳ 明朝" w:hint="eastAsia"/>
          <w:szCs w:val="24"/>
        </w:rPr>
        <w:t>事業費、</w:t>
      </w:r>
      <w:r w:rsidRPr="00930752">
        <w:rPr>
          <w:rFonts w:hAnsi="ＭＳ 明朝" w:hint="eastAsia"/>
          <w:szCs w:val="24"/>
        </w:rPr>
        <w:t>高岡駅前東地区複合ビル活用推進</w:t>
      </w:r>
      <w:r w:rsidR="00E44D5E" w:rsidRPr="00930752">
        <w:rPr>
          <w:rFonts w:hAnsi="ＭＳ 明朝" w:hint="eastAsia"/>
          <w:szCs w:val="24"/>
        </w:rPr>
        <w:t>事業費</w:t>
      </w:r>
      <w:r w:rsidR="00164CD8" w:rsidRPr="00930752">
        <w:rPr>
          <w:rFonts w:hAnsi="ＭＳ 明朝" w:hint="eastAsia"/>
          <w:szCs w:val="24"/>
        </w:rPr>
        <w:t>、</w:t>
      </w:r>
      <w:r w:rsidRPr="00930752">
        <w:rPr>
          <w:rFonts w:hAnsi="ＭＳ 明朝" w:hint="eastAsia"/>
          <w:szCs w:val="24"/>
        </w:rPr>
        <w:t>予防接種</w:t>
      </w:r>
      <w:r w:rsidR="00935979" w:rsidRPr="00930752">
        <w:rPr>
          <w:rFonts w:hAnsi="ＭＳ 明朝" w:hint="eastAsia"/>
          <w:szCs w:val="24"/>
        </w:rPr>
        <w:t>事業</w:t>
      </w:r>
      <w:r w:rsidRPr="00930752">
        <w:rPr>
          <w:rFonts w:hAnsi="ＭＳ 明朝" w:hint="eastAsia"/>
          <w:szCs w:val="24"/>
        </w:rPr>
        <w:t>費</w:t>
      </w:r>
      <w:r w:rsidR="00164CD8" w:rsidRPr="00930752">
        <w:rPr>
          <w:rFonts w:hAnsi="ＭＳ 明朝" w:hint="eastAsia"/>
          <w:szCs w:val="24"/>
        </w:rPr>
        <w:t>等</w:t>
      </w:r>
      <w:r w:rsidR="00821B8F" w:rsidRPr="00930752">
        <w:rPr>
          <w:rFonts w:hAnsi="ＭＳ 明朝" w:hint="eastAsia"/>
          <w:szCs w:val="24"/>
        </w:rPr>
        <w:t>が</w:t>
      </w:r>
      <w:r w:rsidRPr="00930752">
        <w:rPr>
          <w:rFonts w:hAnsi="ＭＳ 明朝" w:hint="eastAsia"/>
          <w:szCs w:val="24"/>
        </w:rPr>
        <w:t>増加</w:t>
      </w:r>
      <w:r w:rsidR="00821B8F" w:rsidRPr="00930752">
        <w:rPr>
          <w:rFonts w:hAnsi="ＭＳ 明朝" w:hint="eastAsia"/>
          <w:szCs w:val="24"/>
        </w:rPr>
        <w:t>したことによるものである。</w:t>
      </w:r>
    </w:p>
    <w:p w:rsidR="00821B8F" w:rsidRDefault="00930752" w:rsidP="00821B8F">
      <w:pPr>
        <w:kinsoku w:val="0"/>
        <w:overflowPunct w:val="0"/>
        <w:snapToGrid w:val="0"/>
        <w:spacing w:line="240" w:lineRule="auto"/>
        <w:rPr>
          <w:rFonts w:hAnsi="ＭＳ 明朝"/>
          <w:szCs w:val="24"/>
        </w:rPr>
      </w:pPr>
      <w:r w:rsidRPr="00930752">
        <w:rPr>
          <w:rFonts w:hAnsi="ＭＳ 明朝" w:hint="eastAsia"/>
          <w:szCs w:val="24"/>
        </w:rPr>
        <w:t xml:space="preserve">　土木</w:t>
      </w:r>
      <w:r w:rsidR="00821B8F" w:rsidRPr="00930752">
        <w:rPr>
          <w:rFonts w:hAnsi="ＭＳ 明朝" w:hint="eastAsia"/>
          <w:szCs w:val="24"/>
        </w:rPr>
        <w:t>費の</w:t>
      </w:r>
      <w:r w:rsidRPr="00930752">
        <w:rPr>
          <w:rFonts w:hAnsi="ＭＳ 明朝" w:hint="eastAsia"/>
          <w:szCs w:val="24"/>
        </w:rPr>
        <w:t>増加</w:t>
      </w:r>
      <w:r w:rsidR="00821B8F" w:rsidRPr="00930752">
        <w:rPr>
          <w:rFonts w:hAnsi="ＭＳ 明朝" w:hint="eastAsia"/>
          <w:szCs w:val="24"/>
        </w:rPr>
        <w:t>の主な要因は、</w:t>
      </w:r>
      <w:r w:rsidRPr="00930752">
        <w:rPr>
          <w:rFonts w:hAnsi="ＭＳ 明朝" w:hint="eastAsia"/>
          <w:szCs w:val="24"/>
        </w:rPr>
        <w:t>福岡駅前土地区画整理事業費等が減少したものの、高岡駅前東地区整備推進事業費、矢田市営住宅建替事業費、交通ネットワーク整備</w:t>
      </w:r>
      <w:r w:rsidR="00935979" w:rsidRPr="00930752">
        <w:rPr>
          <w:rFonts w:hAnsi="ＭＳ 明朝" w:hint="eastAsia"/>
          <w:szCs w:val="24"/>
        </w:rPr>
        <w:t>事業費</w:t>
      </w:r>
      <w:r w:rsidR="00164CD8" w:rsidRPr="00930752">
        <w:rPr>
          <w:rFonts w:hAnsi="ＭＳ 明朝" w:hint="eastAsia"/>
          <w:szCs w:val="24"/>
        </w:rPr>
        <w:t>、</w:t>
      </w:r>
      <w:r w:rsidRPr="00930752">
        <w:rPr>
          <w:rFonts w:hAnsi="ＭＳ 明朝" w:hint="eastAsia"/>
          <w:szCs w:val="24"/>
        </w:rPr>
        <w:t>末広</w:t>
      </w:r>
      <w:r w:rsidR="000A383B">
        <w:rPr>
          <w:rFonts w:hAnsi="ＭＳ 明朝" w:hint="eastAsia"/>
          <w:szCs w:val="24"/>
        </w:rPr>
        <w:t>町</w:t>
      </w:r>
      <w:r w:rsidRPr="00930752">
        <w:rPr>
          <w:rFonts w:hAnsi="ＭＳ 明朝" w:hint="eastAsia"/>
          <w:szCs w:val="24"/>
        </w:rPr>
        <w:t>西地区整備推進</w:t>
      </w:r>
      <w:r w:rsidR="008F7EDB" w:rsidRPr="00930752">
        <w:rPr>
          <w:rFonts w:hAnsi="ＭＳ 明朝" w:hint="eastAsia"/>
          <w:szCs w:val="24"/>
        </w:rPr>
        <w:t>事業費</w:t>
      </w:r>
      <w:r w:rsidR="00164CD8" w:rsidRPr="00930752">
        <w:rPr>
          <w:rFonts w:hAnsi="ＭＳ 明朝" w:hint="eastAsia"/>
          <w:szCs w:val="24"/>
        </w:rPr>
        <w:t>等</w:t>
      </w:r>
      <w:r w:rsidR="001232BD" w:rsidRPr="00930752">
        <w:rPr>
          <w:rFonts w:hAnsi="ＭＳ 明朝" w:hint="eastAsia"/>
          <w:szCs w:val="24"/>
        </w:rPr>
        <w:t>が</w:t>
      </w:r>
      <w:r w:rsidRPr="00930752">
        <w:rPr>
          <w:rFonts w:hAnsi="ＭＳ 明朝" w:hint="eastAsia"/>
          <w:szCs w:val="24"/>
        </w:rPr>
        <w:t>増加</w:t>
      </w:r>
      <w:r w:rsidR="001232BD" w:rsidRPr="00930752">
        <w:rPr>
          <w:rFonts w:hAnsi="ＭＳ 明朝" w:hint="eastAsia"/>
          <w:szCs w:val="24"/>
        </w:rPr>
        <w:t>したことによるものである。</w:t>
      </w:r>
    </w:p>
    <w:p w:rsidR="00E3679A" w:rsidRPr="00A721E4" w:rsidRDefault="00E3679A" w:rsidP="00935FD8">
      <w:pPr>
        <w:kinsoku w:val="0"/>
        <w:overflowPunct w:val="0"/>
        <w:snapToGrid w:val="0"/>
        <w:spacing w:line="240" w:lineRule="auto"/>
        <w:jc w:val="left"/>
        <w:rPr>
          <w:rFonts w:hAnsi="ＭＳ 明朝"/>
          <w:szCs w:val="24"/>
        </w:rPr>
      </w:pPr>
    </w:p>
    <w:p w:rsidR="00E3679A" w:rsidRDefault="00E3679A" w:rsidP="00DC50CB">
      <w:pPr>
        <w:kinsoku w:val="0"/>
        <w:overflowPunct w:val="0"/>
        <w:snapToGrid w:val="0"/>
        <w:spacing w:line="240" w:lineRule="auto"/>
        <w:rPr>
          <w:rFonts w:hAnsi="ＭＳ 明朝"/>
          <w:szCs w:val="24"/>
        </w:rPr>
      </w:pPr>
    </w:p>
    <w:p w:rsidR="00E3679A" w:rsidRDefault="00E3679A" w:rsidP="00DC50CB">
      <w:pPr>
        <w:kinsoku w:val="0"/>
        <w:overflowPunct w:val="0"/>
        <w:snapToGrid w:val="0"/>
        <w:spacing w:line="240" w:lineRule="auto"/>
        <w:rPr>
          <w:rFonts w:hAnsi="ＭＳ 明朝"/>
          <w:szCs w:val="24"/>
        </w:rPr>
      </w:pPr>
    </w:p>
    <w:p w:rsidR="002D62AE" w:rsidRDefault="002D62AE" w:rsidP="00DC50CB">
      <w:pPr>
        <w:spacing w:line="240" w:lineRule="auto"/>
        <w:rPr>
          <w:rFonts w:hAnsi="ＭＳ 明朝"/>
          <w:szCs w:val="24"/>
        </w:rPr>
      </w:pPr>
    </w:p>
    <w:p w:rsidR="008F7EDB" w:rsidRPr="00A9426D" w:rsidRDefault="008F7EDB" w:rsidP="00DC50CB">
      <w:pPr>
        <w:spacing w:line="240" w:lineRule="auto"/>
        <w:rPr>
          <w:rFonts w:hAnsi="ＭＳ 明朝"/>
          <w:szCs w:val="24"/>
        </w:rPr>
      </w:pPr>
    </w:p>
    <w:p w:rsidR="003E7FE5" w:rsidRPr="0062344B" w:rsidRDefault="0062344B" w:rsidP="00DC50CB">
      <w:pPr>
        <w:spacing w:line="240" w:lineRule="auto"/>
        <w:rPr>
          <w:rFonts w:ascii="ＭＳ ゴシック" w:eastAsia="ＭＳ ゴシック" w:hAnsi="ＭＳ ゴシック"/>
          <w:szCs w:val="24"/>
        </w:rPr>
      </w:pPr>
      <w:r w:rsidRPr="0062344B">
        <w:rPr>
          <w:rFonts w:ascii="ＭＳ ゴシック" w:eastAsia="ＭＳ ゴシック" w:hAnsi="ＭＳ ゴシック" w:hint="eastAsia"/>
          <w:szCs w:val="24"/>
        </w:rPr>
        <w:lastRenderedPageBreak/>
        <w:t>款</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決</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算</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状</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況</w:t>
      </w:r>
    </w:p>
    <w:p w:rsidR="00255786" w:rsidRDefault="0062344B" w:rsidP="00E358CF">
      <w:pPr>
        <w:spacing w:line="240" w:lineRule="auto"/>
        <w:ind w:firstLineChars="3250" w:firstLine="7800"/>
        <w:rPr>
          <w:rFonts w:hAnsi="ＭＳ 明朝"/>
          <w:szCs w:val="24"/>
        </w:rPr>
      </w:pPr>
      <w:r>
        <w:rPr>
          <w:rFonts w:hAnsi="ＭＳ 明朝" w:hint="eastAsia"/>
          <w:szCs w:val="24"/>
        </w:rPr>
        <w:t>（単位：千円・％）</w:t>
      </w:r>
    </w:p>
    <w:bookmarkStart w:id="1" w:name="_MON_1438691926"/>
    <w:bookmarkEnd w:id="1"/>
    <w:p w:rsidR="008463AA" w:rsidRDefault="00B2463B" w:rsidP="00737779">
      <w:pPr>
        <w:spacing w:line="240" w:lineRule="auto"/>
        <w:rPr>
          <w:rFonts w:hAnsi="ＭＳ 明朝"/>
          <w:szCs w:val="24"/>
        </w:rPr>
      </w:pPr>
      <w:r w:rsidRPr="0020002D">
        <w:rPr>
          <w:rFonts w:hAnsi="ＭＳ 明朝"/>
          <w:szCs w:val="24"/>
        </w:rPr>
        <w:object w:dxaOrig="10890" w:dyaOrig="9795">
          <v:shape id="_x0000_i1026" type="#_x0000_t75" style="width:477.1pt;height:402.55pt" o:ole="">
            <v:imagedata r:id="rId10" o:title=""/>
          </v:shape>
          <o:OLEObject Type="Embed" ProgID="Excel.Sheet.12" ShapeID="_x0000_i1026" DrawAspect="Content" ObjectID="_1568617406" r:id="rId11"/>
        </w:object>
      </w:r>
    </w:p>
    <w:p w:rsidR="00737779" w:rsidRDefault="00737779" w:rsidP="00737779">
      <w:pPr>
        <w:spacing w:line="240" w:lineRule="auto"/>
        <w:rPr>
          <w:rFonts w:hAnsi="ＭＳ 明朝"/>
          <w:szCs w:val="24"/>
        </w:rPr>
      </w:pPr>
    </w:p>
    <w:p w:rsidR="00885FDC" w:rsidRDefault="00885FDC" w:rsidP="002D62AE">
      <w:pPr>
        <w:kinsoku w:val="0"/>
        <w:overflowPunct w:val="0"/>
        <w:snapToGrid w:val="0"/>
        <w:spacing w:line="240" w:lineRule="auto"/>
        <w:ind w:firstLineChars="100" w:firstLine="240"/>
        <w:rPr>
          <w:rFonts w:hAnsi="ＭＳ 明朝"/>
          <w:szCs w:val="24"/>
        </w:rPr>
      </w:pPr>
      <w:r w:rsidRPr="00885FDC">
        <w:rPr>
          <w:rFonts w:hAnsi="ＭＳ 明朝" w:hint="eastAsia"/>
          <w:szCs w:val="24"/>
        </w:rPr>
        <w:t>議会費の減少の主な要因は、議員共済給付費負担金の負担率が引き下げられたことにより、負担金が減少したこと等によるものである。</w:t>
      </w:r>
    </w:p>
    <w:p w:rsidR="00796611" w:rsidRPr="0049365A" w:rsidRDefault="0049365A" w:rsidP="002D62AE">
      <w:pPr>
        <w:kinsoku w:val="0"/>
        <w:overflowPunct w:val="0"/>
        <w:snapToGrid w:val="0"/>
        <w:spacing w:line="240" w:lineRule="auto"/>
        <w:ind w:firstLineChars="100" w:firstLine="240"/>
        <w:rPr>
          <w:rFonts w:hAnsi="ＭＳ 明朝"/>
          <w:szCs w:val="24"/>
        </w:rPr>
      </w:pPr>
      <w:r w:rsidRPr="0049365A">
        <w:rPr>
          <w:rFonts w:hAnsi="ＭＳ 明朝" w:hint="eastAsia"/>
          <w:szCs w:val="24"/>
        </w:rPr>
        <w:t>農林水産業</w:t>
      </w:r>
      <w:r w:rsidR="00796611" w:rsidRPr="0049365A">
        <w:rPr>
          <w:rFonts w:hAnsi="ＭＳ 明朝" w:hint="eastAsia"/>
          <w:szCs w:val="24"/>
        </w:rPr>
        <w:t>費の減少の主な要因は</w:t>
      </w:r>
      <w:r w:rsidR="00164CD8" w:rsidRPr="0049365A">
        <w:rPr>
          <w:rFonts w:hAnsi="ＭＳ 明朝" w:hint="eastAsia"/>
          <w:szCs w:val="24"/>
        </w:rPr>
        <w:t>、</w:t>
      </w:r>
      <w:r w:rsidRPr="0049365A">
        <w:rPr>
          <w:rFonts w:hAnsi="ＭＳ 明朝" w:hint="eastAsia"/>
          <w:szCs w:val="24"/>
        </w:rPr>
        <w:t>多面的機能支払支援事業費等</w:t>
      </w:r>
      <w:r w:rsidR="00796611" w:rsidRPr="0049365A">
        <w:rPr>
          <w:rFonts w:hAnsi="ＭＳ 明朝" w:hint="eastAsia"/>
          <w:szCs w:val="24"/>
        </w:rPr>
        <w:t>が増加したものの、</w:t>
      </w:r>
      <w:r>
        <w:rPr>
          <w:rFonts w:hAnsi="ＭＳ 明朝" w:hint="eastAsia"/>
          <w:szCs w:val="24"/>
        </w:rPr>
        <w:t>農業経営規模拡大対策事業費、団体営林道事業費、かんがい排水事業費、ため池等整備事業費補助金</w:t>
      </w:r>
      <w:r w:rsidR="00164CD8" w:rsidRPr="0049365A">
        <w:rPr>
          <w:rFonts w:hAnsi="ＭＳ 明朝" w:hint="eastAsia"/>
          <w:szCs w:val="24"/>
        </w:rPr>
        <w:t>等</w:t>
      </w:r>
      <w:r w:rsidR="00796611" w:rsidRPr="0049365A">
        <w:rPr>
          <w:rFonts w:hAnsi="ＭＳ 明朝" w:hint="eastAsia"/>
          <w:szCs w:val="24"/>
        </w:rPr>
        <w:t>が減少したことによるものである。</w:t>
      </w:r>
    </w:p>
    <w:p w:rsidR="00E44D5E" w:rsidRPr="000864ED" w:rsidRDefault="0049365A" w:rsidP="00885FDC">
      <w:pPr>
        <w:kinsoku w:val="0"/>
        <w:overflowPunct w:val="0"/>
        <w:snapToGrid w:val="0"/>
        <w:spacing w:line="240" w:lineRule="auto"/>
        <w:ind w:firstLineChars="100" w:firstLine="240"/>
        <w:rPr>
          <w:rFonts w:hAnsi="ＭＳ 明朝"/>
          <w:szCs w:val="24"/>
          <w:highlight w:val="yellow"/>
        </w:rPr>
      </w:pPr>
      <w:r w:rsidRPr="00885FDC">
        <w:rPr>
          <w:rFonts w:hAnsi="ＭＳ 明朝" w:hint="eastAsia"/>
          <w:szCs w:val="24"/>
        </w:rPr>
        <w:t>教育</w:t>
      </w:r>
      <w:r w:rsidR="00796611" w:rsidRPr="00885FDC">
        <w:rPr>
          <w:rFonts w:hAnsi="ＭＳ 明朝" w:hint="eastAsia"/>
          <w:szCs w:val="24"/>
        </w:rPr>
        <w:t>費の減少の主な要因は、</w:t>
      </w:r>
      <w:r w:rsidRPr="00885FDC">
        <w:rPr>
          <w:rFonts w:hAnsi="ＭＳ 明朝" w:hint="eastAsia"/>
          <w:szCs w:val="24"/>
        </w:rPr>
        <w:t>野村小学校体育館改築事業費、能町公民館整備事業費等</w:t>
      </w:r>
      <w:r w:rsidR="005A30DA" w:rsidRPr="00885FDC">
        <w:rPr>
          <w:rFonts w:hAnsi="ＭＳ 明朝" w:hint="eastAsia"/>
          <w:szCs w:val="24"/>
        </w:rPr>
        <w:t>が増加したものの、</w:t>
      </w:r>
      <w:r w:rsidRPr="00885FDC">
        <w:rPr>
          <w:rFonts w:hAnsi="ＭＳ 明朝" w:hint="eastAsia"/>
          <w:szCs w:val="24"/>
        </w:rPr>
        <w:t>学校施設耐震化</w:t>
      </w:r>
      <w:r w:rsidR="00954FDD" w:rsidRPr="00885FDC">
        <w:rPr>
          <w:rFonts w:hAnsi="ＭＳ 明朝" w:hint="eastAsia"/>
          <w:szCs w:val="24"/>
        </w:rPr>
        <w:t>事業費、</w:t>
      </w:r>
      <w:r w:rsidR="00885FDC" w:rsidRPr="00885FDC">
        <w:rPr>
          <w:rFonts w:hAnsi="ＭＳ 明朝" w:hint="eastAsia"/>
          <w:szCs w:val="24"/>
        </w:rPr>
        <w:t>志貴野中学校校舎改築</w:t>
      </w:r>
      <w:r w:rsidR="00954FDD" w:rsidRPr="00885FDC">
        <w:rPr>
          <w:rFonts w:hAnsi="ＭＳ 明朝" w:hint="eastAsia"/>
          <w:szCs w:val="24"/>
        </w:rPr>
        <w:t>事業費</w:t>
      </w:r>
      <w:r w:rsidR="00164CD8" w:rsidRPr="00885FDC">
        <w:rPr>
          <w:rFonts w:hAnsi="ＭＳ 明朝" w:hint="eastAsia"/>
          <w:szCs w:val="24"/>
        </w:rPr>
        <w:t>等</w:t>
      </w:r>
      <w:r w:rsidR="00CC3FCE" w:rsidRPr="00885FDC">
        <w:rPr>
          <w:rFonts w:hAnsi="ＭＳ 明朝" w:hint="eastAsia"/>
          <w:szCs w:val="24"/>
        </w:rPr>
        <w:t>が減少したことによるものである。</w:t>
      </w:r>
    </w:p>
    <w:p w:rsidR="002D62AE" w:rsidRDefault="002D62AE" w:rsidP="002D62AE">
      <w:pPr>
        <w:spacing w:line="240" w:lineRule="auto"/>
        <w:rPr>
          <w:rFonts w:hAnsi="ＭＳ 明朝"/>
          <w:szCs w:val="24"/>
        </w:rPr>
      </w:pPr>
    </w:p>
    <w:p w:rsidR="00885FDC" w:rsidRDefault="00885FDC" w:rsidP="002D62AE">
      <w:pPr>
        <w:spacing w:line="240" w:lineRule="auto"/>
        <w:rPr>
          <w:rFonts w:hAnsi="ＭＳ 明朝"/>
          <w:szCs w:val="24"/>
        </w:rPr>
      </w:pPr>
    </w:p>
    <w:p w:rsidR="00885FDC" w:rsidRPr="00E44D5E" w:rsidRDefault="00885FDC" w:rsidP="002D62AE">
      <w:pPr>
        <w:spacing w:line="240" w:lineRule="auto"/>
        <w:rPr>
          <w:rFonts w:hAnsi="ＭＳ 明朝"/>
          <w:szCs w:val="24"/>
        </w:rPr>
      </w:pPr>
    </w:p>
    <w:p w:rsidR="002D62AE" w:rsidRDefault="002D62AE" w:rsidP="00DC50CB">
      <w:pPr>
        <w:spacing w:line="240" w:lineRule="auto"/>
        <w:rPr>
          <w:rFonts w:hAnsi="ＭＳ 明朝"/>
          <w:szCs w:val="24"/>
        </w:rPr>
      </w:pPr>
    </w:p>
    <w:p w:rsidR="00675679" w:rsidRDefault="00675679" w:rsidP="00DC50CB">
      <w:pPr>
        <w:spacing w:line="240" w:lineRule="auto"/>
        <w:rPr>
          <w:rFonts w:hAnsi="ＭＳ 明朝"/>
          <w:szCs w:val="24"/>
        </w:rPr>
      </w:pPr>
    </w:p>
    <w:p w:rsidR="00675679" w:rsidRDefault="00675679" w:rsidP="00DC50CB">
      <w:pPr>
        <w:spacing w:line="240" w:lineRule="auto"/>
        <w:rPr>
          <w:rFonts w:hAnsi="ＭＳ 明朝"/>
          <w:szCs w:val="24"/>
        </w:rPr>
      </w:pPr>
    </w:p>
    <w:p w:rsidR="00935FD8" w:rsidRDefault="00935FD8" w:rsidP="00DC50CB">
      <w:pPr>
        <w:spacing w:line="240" w:lineRule="auto"/>
        <w:rPr>
          <w:rFonts w:hAnsi="ＭＳ 明朝"/>
          <w:szCs w:val="24"/>
        </w:rPr>
      </w:pPr>
    </w:p>
    <w:p w:rsidR="00A365E6" w:rsidRPr="00A365E6" w:rsidRDefault="002D62AE" w:rsidP="00954FDD">
      <w:pPr>
        <w:kinsoku w:val="0"/>
        <w:overflowPunct w:val="0"/>
        <w:snapToGrid w:val="0"/>
        <w:spacing w:line="240" w:lineRule="auto"/>
        <w:ind w:right="240"/>
        <w:jc w:val="right"/>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一　般　会　計　歳　出　款　別</w:t>
      </w:r>
    </w:p>
    <w:p w:rsidR="00A365E6" w:rsidRPr="00A365E6" w:rsidRDefault="00A365E6" w:rsidP="00A365E6">
      <w:pPr>
        <w:kinsoku w:val="0"/>
        <w:overflowPunct w:val="0"/>
        <w:snapToGrid w:val="0"/>
        <w:spacing w:line="240" w:lineRule="auto"/>
        <w:rPr>
          <w:rFonts w:hAnsi="ＭＳ 明朝"/>
          <w:szCs w:val="24"/>
        </w:rPr>
      </w:pPr>
    </w:p>
    <w:bookmarkStart w:id="2" w:name="_MON_1439014604"/>
    <w:bookmarkEnd w:id="2"/>
    <w:p w:rsidR="002D62AE" w:rsidRPr="00A365E6" w:rsidRDefault="001A3825" w:rsidP="002D62AE">
      <w:pPr>
        <w:kinsoku w:val="0"/>
        <w:overflowPunct w:val="0"/>
        <w:snapToGrid w:val="0"/>
        <w:spacing w:line="240" w:lineRule="auto"/>
        <w:rPr>
          <w:rFonts w:hAnsi="ＭＳ 明朝"/>
          <w:szCs w:val="24"/>
        </w:rPr>
      </w:pPr>
      <w:r w:rsidRPr="00A365E6">
        <w:rPr>
          <w:rFonts w:hAnsi="ＭＳ 明朝"/>
          <w:szCs w:val="24"/>
        </w:rPr>
        <w:object w:dxaOrig="10174" w:dyaOrig="12784">
          <v:shape id="_x0000_i1027" type="#_x0000_t75" style="width:482.1pt;height:634.25pt" o:ole="">
            <v:imagedata r:id="rId12" o:title=""/>
          </v:shape>
          <o:OLEObject Type="Embed" ProgID="Excel.Sheet.12" ShapeID="_x0000_i1027" DrawAspect="Content" ObjectID="_1568617407" r:id="rId13"/>
        </w:object>
      </w:r>
    </w:p>
    <w:p w:rsidR="002D62AE" w:rsidRDefault="002D62AE" w:rsidP="002D62AE">
      <w:pPr>
        <w:kinsoku w:val="0"/>
        <w:overflowPunct w:val="0"/>
        <w:snapToGrid w:val="0"/>
        <w:spacing w:line="240" w:lineRule="auto"/>
        <w:rPr>
          <w:rFonts w:hAnsi="ＭＳ 明朝"/>
          <w:szCs w:val="24"/>
        </w:rPr>
      </w:pPr>
    </w:p>
    <w:p w:rsidR="00A14E64" w:rsidRDefault="00A14E64" w:rsidP="002D62AE">
      <w:pPr>
        <w:kinsoku w:val="0"/>
        <w:overflowPunct w:val="0"/>
        <w:snapToGrid w:val="0"/>
        <w:spacing w:line="240" w:lineRule="auto"/>
        <w:rPr>
          <w:rFonts w:hAnsi="ＭＳ 明朝"/>
          <w:szCs w:val="24"/>
        </w:rPr>
      </w:pPr>
    </w:p>
    <w:p w:rsidR="00DC60DF" w:rsidRDefault="00DC60DF" w:rsidP="002D62AE">
      <w:pPr>
        <w:kinsoku w:val="0"/>
        <w:overflowPunct w:val="0"/>
        <w:snapToGrid w:val="0"/>
        <w:spacing w:line="240" w:lineRule="auto"/>
        <w:rPr>
          <w:rFonts w:hAnsi="ＭＳ 明朝"/>
          <w:szCs w:val="24"/>
        </w:rPr>
      </w:pPr>
    </w:p>
    <w:p w:rsidR="002D62AE" w:rsidRPr="00A365E6" w:rsidRDefault="00A365E6" w:rsidP="00A365E6">
      <w:pPr>
        <w:kinsoku w:val="0"/>
        <w:overflowPunct w:val="0"/>
        <w:snapToGrid w:val="0"/>
        <w:spacing w:line="240" w:lineRule="auto"/>
        <w:ind w:firstLineChars="100" w:firstLine="240"/>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覧</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表</w:t>
      </w:r>
    </w:p>
    <w:p w:rsidR="00A365E6" w:rsidRPr="004D0199" w:rsidRDefault="00A365E6" w:rsidP="00372608">
      <w:pPr>
        <w:kinsoku w:val="0"/>
        <w:overflowPunct w:val="0"/>
        <w:snapToGrid w:val="0"/>
        <w:spacing w:line="240" w:lineRule="auto"/>
        <w:ind w:firstLineChars="3300" w:firstLine="7590"/>
        <w:jc w:val="right"/>
        <w:rPr>
          <w:rFonts w:hAnsi="ＭＳ 明朝"/>
          <w:sz w:val="23"/>
          <w:szCs w:val="23"/>
        </w:rPr>
      </w:pPr>
      <w:r w:rsidRPr="004D0199">
        <w:rPr>
          <w:rFonts w:hAnsi="ＭＳ 明朝" w:hint="eastAsia"/>
          <w:sz w:val="23"/>
          <w:szCs w:val="23"/>
        </w:rPr>
        <w:t>（単位：千円・％）</w:t>
      </w:r>
    </w:p>
    <w:bookmarkStart w:id="3" w:name="_MON_1439031668"/>
    <w:bookmarkEnd w:id="3"/>
    <w:p w:rsidR="00304CBC" w:rsidRPr="00D10EA7" w:rsidRDefault="00236FDE" w:rsidP="00D10EA7">
      <w:pPr>
        <w:kinsoku w:val="0"/>
        <w:overflowPunct w:val="0"/>
        <w:snapToGrid w:val="0"/>
        <w:spacing w:line="240" w:lineRule="auto"/>
        <w:rPr>
          <w:sz w:val="20"/>
        </w:rPr>
      </w:pPr>
      <w:r w:rsidRPr="0020002D">
        <w:rPr>
          <w:rFonts w:hAnsi="ＭＳ 明朝"/>
          <w:szCs w:val="24"/>
        </w:rPr>
        <w:object w:dxaOrig="10275" w:dyaOrig="14085">
          <v:shape id="_x0000_i1028" type="#_x0000_t75" style="width:479.6pt;height:632.95pt" o:ole="">
            <v:imagedata r:id="rId14" o:title=""/>
          </v:shape>
          <o:OLEObject Type="Embed" ProgID="Excel.Sheet.12" ShapeID="_x0000_i1028" DrawAspect="Content" ObjectID="_1568617408" r:id="rId15"/>
        </w:object>
      </w:r>
      <w:bookmarkStart w:id="4" w:name="_GoBack"/>
      <w:bookmarkEnd w:id="4"/>
    </w:p>
    <w:p w:rsidR="00765420" w:rsidRDefault="00765420"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p>
    <w:p w:rsidR="00765420" w:rsidRDefault="00765420"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p>
    <w:p w:rsidR="00253F9B" w:rsidRDefault="00253F9B"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p>
    <w:p w:rsidR="00253F9B" w:rsidRDefault="00253F9B"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p>
    <w:p w:rsidR="00304CBC" w:rsidRPr="00225904" w:rsidRDefault="00304CBC"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r w:rsidRPr="00225904">
        <w:rPr>
          <w:rFonts w:ascii="ＭＳ ゴシック" w:eastAsia="ＭＳ ゴシック" w:hAnsi="ＭＳ ゴシック" w:hint="eastAsia"/>
          <w:spacing w:val="14"/>
          <w:kern w:val="2"/>
          <w:szCs w:val="24"/>
        </w:rPr>
        <w:lastRenderedPageBreak/>
        <w:t>⑵　繰出金の状況</w:t>
      </w:r>
    </w:p>
    <w:p w:rsidR="00304CBC" w:rsidRPr="00225904" w:rsidRDefault="00164CD8" w:rsidP="00164CD8">
      <w:pPr>
        <w:kinsoku w:val="0"/>
        <w:overflowPunct w:val="0"/>
        <w:snapToGrid w:val="0"/>
        <w:spacing w:line="240" w:lineRule="auto"/>
        <w:ind w:leftChars="300" w:left="720" w:firstLineChars="100" w:firstLine="270"/>
        <w:rPr>
          <w:rFonts w:hAnsi="ＭＳ 明朝"/>
          <w:spacing w:val="14"/>
          <w:kern w:val="2"/>
          <w:szCs w:val="24"/>
        </w:rPr>
      </w:pPr>
      <w:r w:rsidRPr="00225904">
        <w:rPr>
          <w:rFonts w:hAnsi="ＭＳ 明朝" w:hint="eastAsia"/>
          <w:spacing w:val="15"/>
          <w:szCs w:val="24"/>
          <w:fitText w:val="8640" w:id="941934336"/>
        </w:rPr>
        <w:t>特別会計への繰出金は、国民健康保険事業会計等</w:t>
      </w:r>
      <w:r w:rsidR="00304CBC" w:rsidRPr="00225904">
        <w:rPr>
          <w:rFonts w:hAnsi="ＭＳ 明朝" w:hint="eastAsia"/>
          <w:spacing w:val="15"/>
          <w:szCs w:val="24"/>
          <w:fitText w:val="8640" w:id="941934336"/>
        </w:rPr>
        <w:t>の５事業会計に対して</w:t>
      </w:r>
    </w:p>
    <w:p w:rsidR="00304CBC" w:rsidRPr="00225904" w:rsidRDefault="00225904" w:rsidP="00894C15">
      <w:pPr>
        <w:kinsoku w:val="0"/>
        <w:overflowPunct w:val="0"/>
        <w:snapToGrid w:val="0"/>
        <w:spacing w:line="240" w:lineRule="auto"/>
        <w:ind w:leftChars="300" w:left="720"/>
        <w:rPr>
          <w:rFonts w:hAnsi="ＭＳ 明朝"/>
          <w:spacing w:val="8"/>
          <w:kern w:val="2"/>
          <w:szCs w:val="24"/>
        </w:rPr>
      </w:pPr>
      <w:r w:rsidRPr="00225904">
        <w:rPr>
          <w:rFonts w:hAnsi="ＭＳ 明朝" w:hint="eastAsia"/>
          <w:spacing w:val="14"/>
          <w:kern w:val="2"/>
          <w:szCs w:val="24"/>
        </w:rPr>
        <w:t>4,564,065</w:t>
      </w:r>
      <w:r w:rsidR="00304CBC" w:rsidRPr="00225904">
        <w:rPr>
          <w:rFonts w:hAnsi="ＭＳ 明朝" w:hint="eastAsia"/>
          <w:spacing w:val="14"/>
          <w:kern w:val="2"/>
          <w:szCs w:val="24"/>
        </w:rPr>
        <w:t>千円</w:t>
      </w:r>
      <w:r w:rsidR="00304CBC" w:rsidRPr="00225904">
        <w:rPr>
          <w:rFonts w:hAnsi="ＭＳ 明朝" w:hint="eastAsia"/>
          <w:spacing w:val="8"/>
          <w:kern w:val="2"/>
          <w:szCs w:val="24"/>
        </w:rPr>
        <w:t>を繰</w:t>
      </w:r>
      <w:r w:rsidR="00EF416C" w:rsidRPr="00225904">
        <w:rPr>
          <w:rFonts w:hAnsi="ＭＳ 明朝" w:hint="eastAsia"/>
          <w:spacing w:val="8"/>
          <w:kern w:val="2"/>
          <w:szCs w:val="24"/>
        </w:rPr>
        <w:t>り</w:t>
      </w:r>
      <w:r w:rsidR="00304CBC" w:rsidRPr="00225904">
        <w:rPr>
          <w:rFonts w:hAnsi="ＭＳ 明朝" w:hint="eastAsia"/>
          <w:spacing w:val="8"/>
          <w:kern w:val="2"/>
          <w:szCs w:val="24"/>
        </w:rPr>
        <w:t>出しており、前年度に比べ</w:t>
      </w:r>
      <w:r w:rsidRPr="00225904">
        <w:rPr>
          <w:rFonts w:hAnsi="ＭＳ 明朝" w:hint="eastAsia"/>
          <w:spacing w:val="8"/>
          <w:kern w:val="2"/>
          <w:szCs w:val="24"/>
        </w:rPr>
        <w:t>133,382</w:t>
      </w:r>
      <w:r w:rsidR="00304CBC" w:rsidRPr="00225904">
        <w:rPr>
          <w:rFonts w:hAnsi="ＭＳ 明朝" w:hint="eastAsia"/>
          <w:spacing w:val="8"/>
          <w:kern w:val="2"/>
          <w:szCs w:val="24"/>
        </w:rPr>
        <w:t>千円(</w:t>
      </w:r>
      <w:r w:rsidRPr="00225904">
        <w:rPr>
          <w:rFonts w:hAnsi="ＭＳ 明朝" w:hint="eastAsia"/>
          <w:spacing w:val="8"/>
          <w:kern w:val="2"/>
          <w:szCs w:val="24"/>
        </w:rPr>
        <w:t>3</w:t>
      </w:r>
      <w:r w:rsidR="00C76C6A" w:rsidRPr="00225904">
        <w:rPr>
          <w:rFonts w:hAnsi="ＭＳ 明朝" w:hint="eastAsia"/>
          <w:spacing w:val="8"/>
          <w:kern w:val="2"/>
          <w:szCs w:val="24"/>
        </w:rPr>
        <w:t>.</w:t>
      </w:r>
      <w:r w:rsidRPr="00225904">
        <w:rPr>
          <w:rFonts w:hAnsi="ＭＳ 明朝" w:hint="eastAsia"/>
          <w:spacing w:val="8"/>
          <w:kern w:val="2"/>
          <w:szCs w:val="24"/>
        </w:rPr>
        <w:t>0</w:t>
      </w:r>
      <w:r w:rsidR="00304CBC" w:rsidRPr="00225904">
        <w:rPr>
          <w:rFonts w:hAnsi="ＭＳ 明朝" w:hint="eastAsia"/>
          <w:spacing w:val="8"/>
          <w:kern w:val="2"/>
          <w:szCs w:val="24"/>
        </w:rPr>
        <w:t>％)</w:t>
      </w:r>
      <w:r w:rsidR="00863F42" w:rsidRPr="00225904">
        <w:rPr>
          <w:rFonts w:hAnsi="ＭＳ 明朝" w:hint="eastAsia"/>
          <w:spacing w:val="8"/>
          <w:kern w:val="2"/>
          <w:szCs w:val="24"/>
        </w:rPr>
        <w:t>増加</w:t>
      </w:r>
      <w:r w:rsidR="00304CBC" w:rsidRPr="00225904">
        <w:rPr>
          <w:rFonts w:hAnsi="ＭＳ 明朝" w:hint="eastAsia"/>
          <w:spacing w:val="8"/>
          <w:kern w:val="2"/>
          <w:szCs w:val="24"/>
        </w:rPr>
        <w:t>している。</w:t>
      </w:r>
    </w:p>
    <w:p w:rsidR="00894C15" w:rsidRPr="00533946" w:rsidRDefault="00304CBC" w:rsidP="00225904">
      <w:pPr>
        <w:kinsoku w:val="0"/>
        <w:overflowPunct w:val="0"/>
        <w:snapToGrid w:val="0"/>
        <w:spacing w:line="240" w:lineRule="auto"/>
        <w:ind w:leftChars="100" w:left="740" w:hangingChars="250" w:hanging="500"/>
        <w:jc w:val="left"/>
        <w:rPr>
          <w:rFonts w:hAnsi="ＭＳ 明朝"/>
          <w:szCs w:val="24"/>
        </w:rPr>
      </w:pPr>
      <w:r w:rsidRPr="00225904">
        <w:rPr>
          <w:rFonts w:hAnsi="ＭＳ 明朝" w:hint="eastAsia"/>
          <w:spacing w:val="-20"/>
          <w:szCs w:val="24"/>
        </w:rPr>
        <w:t xml:space="preserve">　</w:t>
      </w:r>
      <w:r w:rsidR="00863F42" w:rsidRPr="00225904">
        <w:rPr>
          <w:rFonts w:hAnsi="ＭＳ 明朝" w:hint="eastAsia"/>
          <w:spacing w:val="-20"/>
          <w:szCs w:val="24"/>
        </w:rPr>
        <w:t xml:space="preserve">　　</w:t>
      </w:r>
      <w:r w:rsidR="00894C15" w:rsidRPr="00225904">
        <w:rPr>
          <w:rFonts w:hAnsi="ＭＳ 明朝" w:hint="eastAsia"/>
          <w:spacing w:val="-20"/>
          <w:szCs w:val="24"/>
        </w:rPr>
        <w:t xml:space="preserve"> </w:t>
      </w:r>
      <w:r w:rsidR="00863F42" w:rsidRPr="00225904">
        <w:rPr>
          <w:rFonts w:hAnsi="ＭＳ 明朝" w:hint="eastAsia"/>
          <w:szCs w:val="24"/>
        </w:rPr>
        <w:t>これは主に、</w:t>
      </w:r>
      <w:r w:rsidR="00C76C6A" w:rsidRPr="00225904">
        <w:rPr>
          <w:rFonts w:hAnsi="ＭＳ 明朝" w:hint="eastAsia"/>
          <w:szCs w:val="24"/>
        </w:rPr>
        <w:t>工業団地造成</w:t>
      </w:r>
      <w:r w:rsidR="00863F42" w:rsidRPr="00225904">
        <w:rPr>
          <w:rFonts w:hAnsi="ＭＳ 明朝" w:hint="eastAsia"/>
          <w:szCs w:val="24"/>
        </w:rPr>
        <w:t>事業会計で</w:t>
      </w:r>
      <w:r w:rsidR="00225904" w:rsidRPr="00225904">
        <w:rPr>
          <w:rFonts w:hAnsi="ＭＳ 明朝" w:hint="eastAsia"/>
          <w:szCs w:val="24"/>
        </w:rPr>
        <w:t>1,274</w:t>
      </w:r>
      <w:r w:rsidR="00863F42" w:rsidRPr="00225904">
        <w:rPr>
          <w:rFonts w:hAnsi="ＭＳ 明朝" w:hint="eastAsia"/>
          <w:szCs w:val="24"/>
        </w:rPr>
        <w:t>千円(△</w:t>
      </w:r>
      <w:r w:rsidR="00225904" w:rsidRPr="00225904">
        <w:rPr>
          <w:rFonts w:hAnsi="ＭＳ 明朝" w:hint="eastAsia"/>
          <w:szCs w:val="24"/>
        </w:rPr>
        <w:t>4</w:t>
      </w:r>
      <w:r w:rsidR="00C76C6A" w:rsidRPr="00225904">
        <w:rPr>
          <w:rFonts w:hAnsi="ＭＳ 明朝" w:hint="eastAsia"/>
          <w:szCs w:val="24"/>
        </w:rPr>
        <w:t>.</w:t>
      </w:r>
      <w:r w:rsidR="00225904" w:rsidRPr="00225904">
        <w:rPr>
          <w:rFonts w:hAnsi="ＭＳ 明朝" w:hint="eastAsia"/>
          <w:szCs w:val="24"/>
        </w:rPr>
        <w:t>7</w:t>
      </w:r>
      <w:r w:rsidR="00863F42" w:rsidRPr="00225904">
        <w:rPr>
          <w:rFonts w:hAnsi="ＭＳ 明朝" w:hint="eastAsia"/>
          <w:szCs w:val="24"/>
        </w:rPr>
        <w:t>％)減少したものの、</w:t>
      </w:r>
      <w:r w:rsidR="00225904" w:rsidRPr="00225904">
        <w:rPr>
          <w:rFonts w:hAnsi="ＭＳ 明朝" w:hint="eastAsia"/>
          <w:szCs w:val="24"/>
        </w:rPr>
        <w:t>介護</w:t>
      </w:r>
      <w:r w:rsidR="00C25DBA" w:rsidRPr="00225904">
        <w:rPr>
          <w:rFonts w:hAnsi="ＭＳ 明朝" w:hint="eastAsia"/>
          <w:szCs w:val="24"/>
        </w:rPr>
        <w:t>保険事業会計で</w:t>
      </w:r>
      <w:r w:rsidR="00225904" w:rsidRPr="00225904">
        <w:rPr>
          <w:rFonts w:hAnsi="ＭＳ 明朝" w:hint="eastAsia"/>
          <w:szCs w:val="24"/>
        </w:rPr>
        <w:t>47,496</w:t>
      </w:r>
      <w:r w:rsidR="00C25DBA" w:rsidRPr="00225904">
        <w:rPr>
          <w:rFonts w:hAnsi="ＭＳ 明朝" w:hint="eastAsia"/>
          <w:szCs w:val="24"/>
        </w:rPr>
        <w:t>千円(</w:t>
      </w:r>
      <w:r w:rsidR="00225904" w:rsidRPr="00225904">
        <w:rPr>
          <w:rFonts w:hAnsi="ＭＳ 明朝" w:hint="eastAsia"/>
          <w:szCs w:val="24"/>
        </w:rPr>
        <w:t>2</w:t>
      </w:r>
      <w:r w:rsidR="00C25DBA" w:rsidRPr="00225904">
        <w:rPr>
          <w:rFonts w:hAnsi="ＭＳ 明朝" w:hint="eastAsia"/>
          <w:szCs w:val="24"/>
        </w:rPr>
        <w:t>.</w:t>
      </w:r>
      <w:r w:rsidR="00225904" w:rsidRPr="00225904">
        <w:rPr>
          <w:rFonts w:hAnsi="ＭＳ 明朝" w:hint="eastAsia"/>
          <w:szCs w:val="24"/>
        </w:rPr>
        <w:t>0</w:t>
      </w:r>
      <w:r w:rsidR="00C25DBA" w:rsidRPr="00225904">
        <w:rPr>
          <w:rFonts w:hAnsi="ＭＳ 明朝" w:hint="eastAsia"/>
          <w:szCs w:val="24"/>
        </w:rPr>
        <w:t>％)、</w:t>
      </w:r>
      <w:r w:rsidR="00C76C6A" w:rsidRPr="00225904">
        <w:rPr>
          <w:rFonts w:hAnsi="ＭＳ 明朝" w:hint="eastAsia"/>
          <w:szCs w:val="24"/>
        </w:rPr>
        <w:t>駐車場</w:t>
      </w:r>
      <w:r w:rsidR="00863F42" w:rsidRPr="00225904">
        <w:rPr>
          <w:rFonts w:hAnsi="ＭＳ 明朝" w:hint="eastAsia"/>
          <w:szCs w:val="24"/>
        </w:rPr>
        <w:t>事業会</w:t>
      </w:r>
      <w:r w:rsidR="006B46EB" w:rsidRPr="00225904">
        <w:rPr>
          <w:rFonts w:hAnsi="ＭＳ 明朝" w:hint="eastAsia"/>
          <w:szCs w:val="24"/>
        </w:rPr>
        <w:t>計</w:t>
      </w:r>
      <w:r w:rsidR="00894C15" w:rsidRPr="00225904">
        <w:rPr>
          <w:rFonts w:hAnsi="ＭＳ 明朝" w:hint="eastAsia"/>
          <w:szCs w:val="24"/>
        </w:rPr>
        <w:t>で</w:t>
      </w:r>
      <w:r w:rsidR="00225904" w:rsidRPr="00225904">
        <w:rPr>
          <w:rFonts w:hAnsi="ＭＳ 明朝" w:hint="eastAsia"/>
          <w:szCs w:val="24"/>
        </w:rPr>
        <w:t>33,510</w:t>
      </w:r>
      <w:r w:rsidR="00894C15" w:rsidRPr="00225904">
        <w:rPr>
          <w:rFonts w:hAnsi="ＭＳ 明朝" w:hint="eastAsia"/>
          <w:szCs w:val="24"/>
        </w:rPr>
        <w:t>千円(</w:t>
      </w:r>
      <w:r w:rsidR="00225904" w:rsidRPr="00225904">
        <w:rPr>
          <w:rFonts w:hAnsi="ＭＳ 明朝" w:hint="eastAsia"/>
          <w:szCs w:val="24"/>
        </w:rPr>
        <w:t>11</w:t>
      </w:r>
      <w:r w:rsidR="00C76C6A" w:rsidRPr="00225904">
        <w:rPr>
          <w:rFonts w:hAnsi="ＭＳ 明朝" w:hint="eastAsia"/>
          <w:szCs w:val="24"/>
        </w:rPr>
        <w:t>.</w:t>
      </w:r>
      <w:r w:rsidR="00225904" w:rsidRPr="00225904">
        <w:rPr>
          <w:rFonts w:hAnsi="ＭＳ 明朝" w:hint="eastAsia"/>
          <w:szCs w:val="24"/>
        </w:rPr>
        <w:t>1</w:t>
      </w:r>
      <w:r w:rsidR="00894C15" w:rsidRPr="00225904">
        <w:rPr>
          <w:rFonts w:hAnsi="ＭＳ 明朝" w:hint="eastAsia"/>
          <w:szCs w:val="24"/>
        </w:rPr>
        <w:t>％)</w:t>
      </w:r>
      <w:r w:rsidR="00C25DBA" w:rsidRPr="00225904">
        <w:rPr>
          <w:rFonts w:hAnsi="ＭＳ 明朝" w:hint="eastAsia"/>
          <w:szCs w:val="24"/>
        </w:rPr>
        <w:t>と</w:t>
      </w:r>
      <w:r w:rsidR="00894C15" w:rsidRPr="00225904">
        <w:rPr>
          <w:rFonts w:hAnsi="ＭＳ 明朝" w:hint="eastAsia"/>
          <w:szCs w:val="24"/>
        </w:rPr>
        <w:t>それぞれ増加したことによるものである。</w:t>
      </w:r>
    </w:p>
    <w:p w:rsidR="00304CBC" w:rsidRDefault="00304CBC" w:rsidP="00304CBC">
      <w:pPr>
        <w:kinsoku w:val="0"/>
        <w:overflowPunct w:val="0"/>
        <w:snapToGrid w:val="0"/>
        <w:spacing w:line="240" w:lineRule="auto"/>
        <w:ind w:leftChars="300" w:left="720"/>
        <w:jc w:val="left"/>
        <w:rPr>
          <w:rFonts w:hAnsi="ＭＳ 明朝"/>
          <w:szCs w:val="24"/>
        </w:rPr>
      </w:pPr>
    </w:p>
    <w:p w:rsidR="00894C15" w:rsidRPr="00426405" w:rsidRDefault="00894C15" w:rsidP="00304CBC">
      <w:pPr>
        <w:kinsoku w:val="0"/>
        <w:overflowPunct w:val="0"/>
        <w:snapToGrid w:val="0"/>
        <w:spacing w:line="240" w:lineRule="auto"/>
        <w:ind w:leftChars="300" w:left="720"/>
        <w:jc w:val="left"/>
        <w:rPr>
          <w:rFonts w:hAnsi="ＭＳ 明朝"/>
          <w:szCs w:val="24"/>
        </w:rPr>
      </w:pPr>
    </w:p>
    <w:p w:rsidR="00304CBC" w:rsidRPr="00894C15" w:rsidRDefault="00304CBC" w:rsidP="00304CBC">
      <w:pPr>
        <w:kinsoku w:val="0"/>
        <w:overflowPunct w:val="0"/>
        <w:snapToGrid w:val="0"/>
        <w:spacing w:line="240" w:lineRule="auto"/>
        <w:rPr>
          <w:rFonts w:hAnsi="ＭＳ 明朝"/>
          <w:szCs w:val="24"/>
        </w:rPr>
      </w:pPr>
    </w:p>
    <w:p w:rsidR="00304CBC" w:rsidRPr="00C92B14" w:rsidRDefault="00304CBC" w:rsidP="00304CBC">
      <w:pPr>
        <w:kinsoku w:val="0"/>
        <w:overflowPunct w:val="0"/>
        <w:snapToGrid w:val="0"/>
        <w:spacing w:line="240" w:lineRule="auto"/>
        <w:ind w:firstLineChars="100" w:firstLine="268"/>
        <w:rPr>
          <w:rFonts w:asciiTheme="majorEastAsia" w:eastAsiaTheme="majorEastAsia" w:hAnsiTheme="majorEastAsia"/>
          <w:szCs w:val="24"/>
        </w:rPr>
      </w:pPr>
      <w:r w:rsidRPr="00C92B14">
        <w:rPr>
          <w:rFonts w:asciiTheme="majorEastAsia" w:eastAsiaTheme="majorEastAsia" w:hAnsiTheme="majorEastAsia" w:hint="eastAsia"/>
          <w:spacing w:val="14"/>
          <w:kern w:val="2"/>
          <w:szCs w:val="24"/>
        </w:rPr>
        <w:t>一般会計から特別会計への繰出金</w:t>
      </w:r>
    </w:p>
    <w:p w:rsidR="00304CBC" w:rsidRPr="00270726" w:rsidRDefault="00304CBC" w:rsidP="006F0C08">
      <w:pPr>
        <w:kinsoku w:val="0"/>
        <w:overflowPunct w:val="0"/>
        <w:snapToGrid w:val="0"/>
        <w:spacing w:line="240" w:lineRule="auto"/>
        <w:ind w:firstLineChars="3150" w:firstLine="7560"/>
        <w:jc w:val="right"/>
        <w:rPr>
          <w:rFonts w:hAnsi="ＭＳ 明朝"/>
          <w:szCs w:val="24"/>
        </w:rPr>
      </w:pPr>
      <w:r>
        <w:rPr>
          <w:rFonts w:hAnsi="ＭＳ 明朝" w:hint="eastAsia"/>
          <w:szCs w:val="24"/>
        </w:rPr>
        <w:t>（単位：千円・％）</w:t>
      </w:r>
    </w:p>
    <w:bookmarkStart w:id="5" w:name="_MON_1500220446"/>
    <w:bookmarkEnd w:id="5"/>
    <w:p w:rsidR="00304CBC" w:rsidRDefault="00B86D49" w:rsidP="00304CBC">
      <w:pPr>
        <w:spacing w:line="240" w:lineRule="auto"/>
        <w:rPr>
          <w:rFonts w:hAnsi="ＭＳ 明朝"/>
          <w:szCs w:val="24"/>
        </w:rPr>
      </w:pPr>
      <w:r w:rsidRPr="0020002D">
        <w:rPr>
          <w:rFonts w:hAnsi="ＭＳ 明朝"/>
          <w:szCs w:val="24"/>
        </w:rPr>
        <w:object w:dxaOrig="10950" w:dyaOrig="5565">
          <v:shape id="_x0000_i1029" type="#_x0000_t75" style="width:480.2pt;height:231.65pt" o:ole="">
            <v:imagedata r:id="rId16" o:title=""/>
          </v:shape>
          <o:OLEObject Type="Embed" ProgID="Excel.Sheet.12" ShapeID="_x0000_i1029" DrawAspect="Content" ObjectID="_1568617409" r:id="rId17"/>
        </w:object>
      </w:r>
    </w:p>
    <w:p w:rsidR="00304CBC" w:rsidRDefault="00304CBC" w:rsidP="00304CBC">
      <w:pPr>
        <w:spacing w:line="240" w:lineRule="auto"/>
        <w:rPr>
          <w:rFonts w:hAnsi="ＭＳ 明朝"/>
          <w:szCs w:val="24"/>
        </w:rPr>
      </w:pPr>
    </w:p>
    <w:p w:rsidR="00304CBC" w:rsidRDefault="00304CBC" w:rsidP="00986458">
      <w:pPr>
        <w:spacing w:line="240" w:lineRule="auto"/>
        <w:rPr>
          <w:rFonts w:hAnsi="ＭＳ 明朝"/>
          <w:szCs w:val="24"/>
        </w:rPr>
      </w:pPr>
    </w:p>
    <w:sectPr w:rsidR="00304CBC" w:rsidSect="002C5C8C">
      <w:footerReference w:type="default" r:id="rId18"/>
      <w:pgSz w:w="11906" w:h="16838" w:code="9"/>
      <w:pgMar w:top="1134" w:right="1134" w:bottom="1134" w:left="1134" w:header="851" w:footer="397" w:gutter="0"/>
      <w:pgNumType w:fmt="numberInDash" w:start="24"/>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65A" w:rsidRDefault="0049365A" w:rsidP="00255786">
      <w:pPr>
        <w:spacing w:line="240" w:lineRule="auto"/>
      </w:pPr>
      <w:r>
        <w:separator/>
      </w:r>
    </w:p>
  </w:endnote>
  <w:endnote w:type="continuationSeparator" w:id="0">
    <w:p w:rsidR="0049365A" w:rsidRDefault="0049365A" w:rsidP="002557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67911"/>
      <w:docPartObj>
        <w:docPartGallery w:val="Page Numbers (Bottom of Page)"/>
        <w:docPartUnique/>
      </w:docPartObj>
    </w:sdtPr>
    <w:sdtContent>
      <w:p w:rsidR="002C5C8C" w:rsidRDefault="002C5C8C">
        <w:pPr>
          <w:pStyle w:val="a8"/>
          <w:jc w:val="center"/>
        </w:pPr>
        <w:r>
          <w:fldChar w:fldCharType="begin"/>
        </w:r>
        <w:r>
          <w:instrText xml:space="preserve"> PAGE   \* MERGEFORMAT </w:instrText>
        </w:r>
        <w:r>
          <w:fldChar w:fldCharType="separate"/>
        </w:r>
        <w:r w:rsidRPr="002C5C8C">
          <w:rPr>
            <w:noProof/>
            <w:lang w:val="ja-JP"/>
          </w:rPr>
          <w:t>-</w:t>
        </w:r>
        <w:r>
          <w:rPr>
            <w:noProof/>
          </w:rPr>
          <w:t xml:space="preserve"> 24 -</w:t>
        </w:r>
        <w:r>
          <w:fldChar w:fldCharType="end"/>
        </w:r>
      </w:p>
    </w:sdtContent>
  </w:sdt>
  <w:p w:rsidR="002C5C8C" w:rsidRDefault="002C5C8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65A" w:rsidRDefault="0049365A" w:rsidP="00255786">
      <w:pPr>
        <w:spacing w:line="240" w:lineRule="auto"/>
      </w:pPr>
      <w:r>
        <w:separator/>
      </w:r>
    </w:p>
  </w:footnote>
  <w:footnote w:type="continuationSeparator" w:id="0">
    <w:p w:rsidR="0049365A" w:rsidRDefault="0049365A" w:rsidP="0025578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34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B83"/>
    <w:rsid w:val="000039DC"/>
    <w:rsid w:val="00004538"/>
    <w:rsid w:val="00010829"/>
    <w:rsid w:val="00010908"/>
    <w:rsid w:val="00014F3F"/>
    <w:rsid w:val="000307AE"/>
    <w:rsid w:val="00036AF2"/>
    <w:rsid w:val="00040622"/>
    <w:rsid w:val="000432B6"/>
    <w:rsid w:val="00057710"/>
    <w:rsid w:val="00060DC4"/>
    <w:rsid w:val="0007101A"/>
    <w:rsid w:val="000749FA"/>
    <w:rsid w:val="00075E74"/>
    <w:rsid w:val="00077303"/>
    <w:rsid w:val="0008184B"/>
    <w:rsid w:val="000864ED"/>
    <w:rsid w:val="00097F9D"/>
    <w:rsid w:val="000A3482"/>
    <w:rsid w:val="000A36DB"/>
    <w:rsid w:val="000A383B"/>
    <w:rsid w:val="000C1AAB"/>
    <w:rsid w:val="000C351C"/>
    <w:rsid w:val="000C4CD5"/>
    <w:rsid w:val="000C5110"/>
    <w:rsid w:val="000F0726"/>
    <w:rsid w:val="000F3636"/>
    <w:rsid w:val="00100F68"/>
    <w:rsid w:val="00110BE3"/>
    <w:rsid w:val="001232BD"/>
    <w:rsid w:val="00123B93"/>
    <w:rsid w:val="00125723"/>
    <w:rsid w:val="00126FB0"/>
    <w:rsid w:val="0013064C"/>
    <w:rsid w:val="00136C4C"/>
    <w:rsid w:val="00157408"/>
    <w:rsid w:val="00157529"/>
    <w:rsid w:val="00160DFA"/>
    <w:rsid w:val="00164CD8"/>
    <w:rsid w:val="0016574A"/>
    <w:rsid w:val="001708FE"/>
    <w:rsid w:val="001745EA"/>
    <w:rsid w:val="00182661"/>
    <w:rsid w:val="00197E24"/>
    <w:rsid w:val="001A0A71"/>
    <w:rsid w:val="001A3825"/>
    <w:rsid w:val="001A7C77"/>
    <w:rsid w:val="001B1BA4"/>
    <w:rsid w:val="001B3995"/>
    <w:rsid w:val="001C20F2"/>
    <w:rsid w:val="001D2BEE"/>
    <w:rsid w:val="001D683C"/>
    <w:rsid w:val="001D6DB7"/>
    <w:rsid w:val="001E0F7A"/>
    <w:rsid w:val="001E7CE8"/>
    <w:rsid w:val="0020002D"/>
    <w:rsid w:val="0020719E"/>
    <w:rsid w:val="00217F7F"/>
    <w:rsid w:val="002217B9"/>
    <w:rsid w:val="00225763"/>
    <w:rsid w:val="00225904"/>
    <w:rsid w:val="002273E9"/>
    <w:rsid w:val="002302DF"/>
    <w:rsid w:val="00232714"/>
    <w:rsid w:val="00234B6F"/>
    <w:rsid w:val="00234EDB"/>
    <w:rsid w:val="00236FDE"/>
    <w:rsid w:val="00243119"/>
    <w:rsid w:val="002448D8"/>
    <w:rsid w:val="00251B0A"/>
    <w:rsid w:val="0025399C"/>
    <w:rsid w:val="00253F9B"/>
    <w:rsid w:val="00255786"/>
    <w:rsid w:val="00257C6A"/>
    <w:rsid w:val="00262A79"/>
    <w:rsid w:val="00264D9C"/>
    <w:rsid w:val="00270726"/>
    <w:rsid w:val="00271AD4"/>
    <w:rsid w:val="00275793"/>
    <w:rsid w:val="00293CE6"/>
    <w:rsid w:val="002959FA"/>
    <w:rsid w:val="002A6270"/>
    <w:rsid w:val="002C01E2"/>
    <w:rsid w:val="002C1393"/>
    <w:rsid w:val="002C225B"/>
    <w:rsid w:val="002C4D2E"/>
    <w:rsid w:val="002C5C8C"/>
    <w:rsid w:val="002D3248"/>
    <w:rsid w:val="002D62AE"/>
    <w:rsid w:val="002E03DB"/>
    <w:rsid w:val="002E0E87"/>
    <w:rsid w:val="002F11D5"/>
    <w:rsid w:val="003003B1"/>
    <w:rsid w:val="00304CBC"/>
    <w:rsid w:val="00311D03"/>
    <w:rsid w:val="00312C98"/>
    <w:rsid w:val="00315325"/>
    <w:rsid w:val="00334B95"/>
    <w:rsid w:val="003353F4"/>
    <w:rsid w:val="00336651"/>
    <w:rsid w:val="00362BD0"/>
    <w:rsid w:val="00372608"/>
    <w:rsid w:val="00373E0F"/>
    <w:rsid w:val="003745C3"/>
    <w:rsid w:val="003818C2"/>
    <w:rsid w:val="003838C6"/>
    <w:rsid w:val="00391058"/>
    <w:rsid w:val="00397AF8"/>
    <w:rsid w:val="003B2FB9"/>
    <w:rsid w:val="003C5F70"/>
    <w:rsid w:val="003D060D"/>
    <w:rsid w:val="003D7FF4"/>
    <w:rsid w:val="003E7FE5"/>
    <w:rsid w:val="00401DA8"/>
    <w:rsid w:val="00414245"/>
    <w:rsid w:val="0041527E"/>
    <w:rsid w:val="00417FA9"/>
    <w:rsid w:val="00426405"/>
    <w:rsid w:val="0042749A"/>
    <w:rsid w:val="00432FF3"/>
    <w:rsid w:val="00434718"/>
    <w:rsid w:val="00434CBE"/>
    <w:rsid w:val="00442A56"/>
    <w:rsid w:val="00444E87"/>
    <w:rsid w:val="004477B2"/>
    <w:rsid w:val="004542D7"/>
    <w:rsid w:val="00461D6A"/>
    <w:rsid w:val="00477D0B"/>
    <w:rsid w:val="00484D77"/>
    <w:rsid w:val="0049365A"/>
    <w:rsid w:val="004D0199"/>
    <w:rsid w:val="004D0B50"/>
    <w:rsid w:val="004D7457"/>
    <w:rsid w:val="004E2DA6"/>
    <w:rsid w:val="005055FB"/>
    <w:rsid w:val="00522F91"/>
    <w:rsid w:val="0052455A"/>
    <w:rsid w:val="00533946"/>
    <w:rsid w:val="005344A4"/>
    <w:rsid w:val="00536DEE"/>
    <w:rsid w:val="00540382"/>
    <w:rsid w:val="005552A3"/>
    <w:rsid w:val="005555BC"/>
    <w:rsid w:val="00572AEA"/>
    <w:rsid w:val="00580764"/>
    <w:rsid w:val="00583D7C"/>
    <w:rsid w:val="00584961"/>
    <w:rsid w:val="00591DC4"/>
    <w:rsid w:val="0059493A"/>
    <w:rsid w:val="005A30DA"/>
    <w:rsid w:val="005A747F"/>
    <w:rsid w:val="005B0961"/>
    <w:rsid w:val="005B689A"/>
    <w:rsid w:val="005C6C37"/>
    <w:rsid w:val="005C79E3"/>
    <w:rsid w:val="005D2D54"/>
    <w:rsid w:val="005F263B"/>
    <w:rsid w:val="005F5EE8"/>
    <w:rsid w:val="005F7B33"/>
    <w:rsid w:val="006072C0"/>
    <w:rsid w:val="00615306"/>
    <w:rsid w:val="0061673A"/>
    <w:rsid w:val="006169B6"/>
    <w:rsid w:val="00621B2A"/>
    <w:rsid w:val="0062344B"/>
    <w:rsid w:val="00625626"/>
    <w:rsid w:val="00654FC7"/>
    <w:rsid w:val="00661400"/>
    <w:rsid w:val="0066694B"/>
    <w:rsid w:val="00670C51"/>
    <w:rsid w:val="0067194E"/>
    <w:rsid w:val="006731A9"/>
    <w:rsid w:val="00675679"/>
    <w:rsid w:val="00677410"/>
    <w:rsid w:val="006822E4"/>
    <w:rsid w:val="00684AA2"/>
    <w:rsid w:val="006928E0"/>
    <w:rsid w:val="00692B80"/>
    <w:rsid w:val="006A53A0"/>
    <w:rsid w:val="006A6C44"/>
    <w:rsid w:val="006A6F69"/>
    <w:rsid w:val="006B3CDD"/>
    <w:rsid w:val="006B46EB"/>
    <w:rsid w:val="006B7AF6"/>
    <w:rsid w:val="006D2A63"/>
    <w:rsid w:val="006E3959"/>
    <w:rsid w:val="006E4868"/>
    <w:rsid w:val="006F0C08"/>
    <w:rsid w:val="006F72B1"/>
    <w:rsid w:val="0070219E"/>
    <w:rsid w:val="00711008"/>
    <w:rsid w:val="00715148"/>
    <w:rsid w:val="00720D83"/>
    <w:rsid w:val="00720DC2"/>
    <w:rsid w:val="00737779"/>
    <w:rsid w:val="007612C7"/>
    <w:rsid w:val="00765420"/>
    <w:rsid w:val="00766415"/>
    <w:rsid w:val="00766C5A"/>
    <w:rsid w:val="00772FAE"/>
    <w:rsid w:val="00777919"/>
    <w:rsid w:val="00780503"/>
    <w:rsid w:val="00796611"/>
    <w:rsid w:val="007B05E8"/>
    <w:rsid w:val="007B5FC8"/>
    <w:rsid w:val="007B62CB"/>
    <w:rsid w:val="007C5675"/>
    <w:rsid w:val="007C5A44"/>
    <w:rsid w:val="007D5C91"/>
    <w:rsid w:val="007E44CD"/>
    <w:rsid w:val="007E46BA"/>
    <w:rsid w:val="007E5EC0"/>
    <w:rsid w:val="007F6F37"/>
    <w:rsid w:val="00804F46"/>
    <w:rsid w:val="00817E84"/>
    <w:rsid w:val="00821B8F"/>
    <w:rsid w:val="0083230F"/>
    <w:rsid w:val="008463AA"/>
    <w:rsid w:val="00846C3F"/>
    <w:rsid w:val="00847E9D"/>
    <w:rsid w:val="008562DE"/>
    <w:rsid w:val="00863F42"/>
    <w:rsid w:val="00867E83"/>
    <w:rsid w:val="00872EA2"/>
    <w:rsid w:val="008779CE"/>
    <w:rsid w:val="00882E5D"/>
    <w:rsid w:val="00885963"/>
    <w:rsid w:val="00885FDC"/>
    <w:rsid w:val="00887348"/>
    <w:rsid w:val="008915FE"/>
    <w:rsid w:val="00894C15"/>
    <w:rsid w:val="008953F7"/>
    <w:rsid w:val="00896AC2"/>
    <w:rsid w:val="008A14EF"/>
    <w:rsid w:val="008A5C5D"/>
    <w:rsid w:val="008C1445"/>
    <w:rsid w:val="008D09D2"/>
    <w:rsid w:val="008E7A62"/>
    <w:rsid w:val="008F33D1"/>
    <w:rsid w:val="008F3EDB"/>
    <w:rsid w:val="008F6C0E"/>
    <w:rsid w:val="008F7EDB"/>
    <w:rsid w:val="009136B9"/>
    <w:rsid w:val="0092507A"/>
    <w:rsid w:val="009250B5"/>
    <w:rsid w:val="00926CFD"/>
    <w:rsid w:val="00930752"/>
    <w:rsid w:val="00935979"/>
    <w:rsid w:val="00935FD8"/>
    <w:rsid w:val="00935FFA"/>
    <w:rsid w:val="00940888"/>
    <w:rsid w:val="00940C93"/>
    <w:rsid w:val="00952E82"/>
    <w:rsid w:val="00953201"/>
    <w:rsid w:val="00954FDD"/>
    <w:rsid w:val="00962E0A"/>
    <w:rsid w:val="00964306"/>
    <w:rsid w:val="00981576"/>
    <w:rsid w:val="00984C89"/>
    <w:rsid w:val="00986458"/>
    <w:rsid w:val="00997607"/>
    <w:rsid w:val="009B311F"/>
    <w:rsid w:val="009C6818"/>
    <w:rsid w:val="009E4B14"/>
    <w:rsid w:val="009E5570"/>
    <w:rsid w:val="00A01F67"/>
    <w:rsid w:val="00A03EF6"/>
    <w:rsid w:val="00A059D9"/>
    <w:rsid w:val="00A12A8C"/>
    <w:rsid w:val="00A13A21"/>
    <w:rsid w:val="00A14B1F"/>
    <w:rsid w:val="00A14E64"/>
    <w:rsid w:val="00A224E2"/>
    <w:rsid w:val="00A365E6"/>
    <w:rsid w:val="00A44A0B"/>
    <w:rsid w:val="00A44E93"/>
    <w:rsid w:val="00A463BC"/>
    <w:rsid w:val="00A53042"/>
    <w:rsid w:val="00A57805"/>
    <w:rsid w:val="00A6708F"/>
    <w:rsid w:val="00A721E4"/>
    <w:rsid w:val="00A742A2"/>
    <w:rsid w:val="00A74648"/>
    <w:rsid w:val="00A75391"/>
    <w:rsid w:val="00A833D9"/>
    <w:rsid w:val="00A83DAE"/>
    <w:rsid w:val="00A90CC4"/>
    <w:rsid w:val="00A9426D"/>
    <w:rsid w:val="00AB21FD"/>
    <w:rsid w:val="00AC0D4E"/>
    <w:rsid w:val="00AD760A"/>
    <w:rsid w:val="00AF4385"/>
    <w:rsid w:val="00B10223"/>
    <w:rsid w:val="00B2463B"/>
    <w:rsid w:val="00B3023C"/>
    <w:rsid w:val="00B31D91"/>
    <w:rsid w:val="00B55124"/>
    <w:rsid w:val="00B60D86"/>
    <w:rsid w:val="00B6379B"/>
    <w:rsid w:val="00B645F9"/>
    <w:rsid w:val="00B64FA3"/>
    <w:rsid w:val="00B67DAE"/>
    <w:rsid w:val="00B86D49"/>
    <w:rsid w:val="00B90FA5"/>
    <w:rsid w:val="00BA4810"/>
    <w:rsid w:val="00BD1340"/>
    <w:rsid w:val="00BD4BD4"/>
    <w:rsid w:val="00BE10FE"/>
    <w:rsid w:val="00BE295E"/>
    <w:rsid w:val="00BF0B68"/>
    <w:rsid w:val="00BF758F"/>
    <w:rsid w:val="00C10C65"/>
    <w:rsid w:val="00C16FD6"/>
    <w:rsid w:val="00C25DBA"/>
    <w:rsid w:val="00C56426"/>
    <w:rsid w:val="00C71DFC"/>
    <w:rsid w:val="00C71ECE"/>
    <w:rsid w:val="00C75818"/>
    <w:rsid w:val="00C76C6A"/>
    <w:rsid w:val="00C815FE"/>
    <w:rsid w:val="00C8220D"/>
    <w:rsid w:val="00C92B14"/>
    <w:rsid w:val="00C96678"/>
    <w:rsid w:val="00CA26AA"/>
    <w:rsid w:val="00CB1657"/>
    <w:rsid w:val="00CB4B11"/>
    <w:rsid w:val="00CC3FCE"/>
    <w:rsid w:val="00CF0CB4"/>
    <w:rsid w:val="00D03BC9"/>
    <w:rsid w:val="00D10EA7"/>
    <w:rsid w:val="00D1612A"/>
    <w:rsid w:val="00D241C3"/>
    <w:rsid w:val="00D40067"/>
    <w:rsid w:val="00D4491C"/>
    <w:rsid w:val="00D45317"/>
    <w:rsid w:val="00D7451C"/>
    <w:rsid w:val="00D91257"/>
    <w:rsid w:val="00D91F67"/>
    <w:rsid w:val="00DB7E3E"/>
    <w:rsid w:val="00DC1DB9"/>
    <w:rsid w:val="00DC50CB"/>
    <w:rsid w:val="00DC60DF"/>
    <w:rsid w:val="00DD0C22"/>
    <w:rsid w:val="00DD10E2"/>
    <w:rsid w:val="00DF71C4"/>
    <w:rsid w:val="00DF7EDB"/>
    <w:rsid w:val="00E00596"/>
    <w:rsid w:val="00E00642"/>
    <w:rsid w:val="00E01DDE"/>
    <w:rsid w:val="00E2184A"/>
    <w:rsid w:val="00E23113"/>
    <w:rsid w:val="00E34E0A"/>
    <w:rsid w:val="00E34F00"/>
    <w:rsid w:val="00E358CF"/>
    <w:rsid w:val="00E3679A"/>
    <w:rsid w:val="00E421A3"/>
    <w:rsid w:val="00E44D5E"/>
    <w:rsid w:val="00E6241F"/>
    <w:rsid w:val="00E70C0A"/>
    <w:rsid w:val="00E717E8"/>
    <w:rsid w:val="00E75789"/>
    <w:rsid w:val="00E779AB"/>
    <w:rsid w:val="00E96DBC"/>
    <w:rsid w:val="00EC4E07"/>
    <w:rsid w:val="00EC52A5"/>
    <w:rsid w:val="00ED4B83"/>
    <w:rsid w:val="00EE1D47"/>
    <w:rsid w:val="00EF33DB"/>
    <w:rsid w:val="00EF416C"/>
    <w:rsid w:val="00EF5C0B"/>
    <w:rsid w:val="00EF7803"/>
    <w:rsid w:val="00F11BD5"/>
    <w:rsid w:val="00F208BF"/>
    <w:rsid w:val="00F37954"/>
    <w:rsid w:val="00F47316"/>
    <w:rsid w:val="00F50560"/>
    <w:rsid w:val="00F51468"/>
    <w:rsid w:val="00F60A27"/>
    <w:rsid w:val="00F70226"/>
    <w:rsid w:val="00F73588"/>
    <w:rsid w:val="00F764A9"/>
    <w:rsid w:val="00F810D6"/>
    <w:rsid w:val="00F8340E"/>
    <w:rsid w:val="00F92026"/>
    <w:rsid w:val="00FC1344"/>
    <w:rsid w:val="00FC62A9"/>
    <w:rsid w:val="00FC666F"/>
    <w:rsid w:val="00FD035C"/>
    <w:rsid w:val="00FE55C7"/>
    <w:rsid w:val="00FF411A"/>
    <w:rsid w:val="00FF657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44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semiHidden/>
    <w:unhideWhenUsed/>
    <w:rsid w:val="00255786"/>
    <w:pPr>
      <w:tabs>
        <w:tab w:val="center" w:pos="4252"/>
        <w:tab w:val="right" w:pos="8504"/>
      </w:tabs>
      <w:snapToGrid w:val="0"/>
    </w:pPr>
  </w:style>
  <w:style w:type="character" w:customStyle="1" w:styleId="a7">
    <w:name w:val="ヘッダー (文字)"/>
    <w:basedOn w:val="a0"/>
    <w:link w:val="a6"/>
    <w:uiPriority w:val="99"/>
    <w:semiHidden/>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s>
</file>

<file path=word/webSettings.xml><?xml version="1.0" encoding="utf-8"?>
<w:webSettings xmlns:r="http://schemas.openxmlformats.org/officeDocument/2006/relationships" xmlns:w="http://schemas.openxmlformats.org/wordprocessingml/2006/main">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4.xlsx"/><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3.emf"/><Relationship Id="rId17" Type="http://schemas.openxmlformats.org/officeDocument/2006/relationships/package" Target="embeddings/Microsoft_Office_Excel_______6.xlsx"/><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Microsoft_Office_Excel_______3.xlsx"/><Relationship Id="rId5" Type="http://schemas.openxmlformats.org/officeDocument/2006/relationships/footnotes" Target="footnotes.xml"/><Relationship Id="rId15" Type="http://schemas.openxmlformats.org/officeDocument/2006/relationships/package" Target="embeddings/Microsoft_Office_Excel_______5.xlsx"/><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Office_Excel_______2.xlsx"/><Relationship Id="rId14" Type="http://schemas.openxmlformats.org/officeDocument/2006/relationships/image" Target="media/image4.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xlsx"/></Relationships>
</file>

<file path=word/charts/chart1.xml><?xml version="1.0" encoding="utf-8"?>
<c:chartSpace xmlns:c="http://schemas.openxmlformats.org/drawingml/2006/chart" xmlns:a="http://schemas.openxmlformats.org/drawingml/2006/main" xmlns:r="http://schemas.openxmlformats.org/officeDocument/2006/relationships">
  <c:lang val="ja-JP"/>
  <c:chart>
    <c:autoTitleDeleted val="1"/>
    <c:view3D>
      <c:rotX val="20"/>
      <c:perspective val="0"/>
    </c:view3D>
    <c:plotArea>
      <c:layout>
        <c:manualLayout>
          <c:layoutTarget val="inner"/>
          <c:xMode val="edge"/>
          <c:yMode val="edge"/>
          <c:x val="8.0233952237451792E-2"/>
          <c:y val="0.29355603276863118"/>
          <c:w val="0.86069505200738849"/>
          <c:h val="0.62624231411632991"/>
        </c:manualLayout>
      </c:layout>
      <c:pie3DChart>
        <c:varyColors val="1"/>
        <c:ser>
          <c:idx val="1"/>
          <c:order val="0"/>
          <c:tx>
            <c:strRef>
              <c:f>Sheet1!$A$2</c:f>
              <c:strCache>
                <c:ptCount val="1"/>
              </c:strCache>
            </c:strRef>
          </c:tx>
          <c:spPr>
            <a:solidFill>
              <a:srgbClr val="993366"/>
            </a:solidFill>
            <a:ln w="12700">
              <a:solidFill>
                <a:srgbClr val="000000"/>
              </a:solidFill>
              <a:prstDash val="solid"/>
            </a:ln>
          </c:spPr>
          <c:explosion val="6"/>
          <c:dPt>
            <c:idx val="0"/>
            <c:explosion val="4"/>
            <c:spPr>
              <a:solidFill>
                <a:srgbClr val="9999FF"/>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Pt>
            <c:idx val="6"/>
            <c:spPr>
              <a:solidFill>
                <a:srgbClr val="0066CC"/>
              </a:solidFill>
              <a:ln w="12700">
                <a:solidFill>
                  <a:srgbClr val="000000"/>
                </a:solidFill>
                <a:prstDash val="solid"/>
              </a:ln>
            </c:spPr>
          </c:dPt>
          <c:dPt>
            <c:idx val="7"/>
            <c:spPr>
              <a:solidFill>
                <a:srgbClr val="CCCCFF"/>
              </a:solidFill>
              <a:ln w="12700">
                <a:solidFill>
                  <a:srgbClr val="000000"/>
                </a:solidFill>
                <a:prstDash val="solid"/>
              </a:ln>
            </c:spPr>
          </c:dPt>
          <c:dPt>
            <c:idx val="8"/>
            <c:spPr>
              <a:solidFill>
                <a:srgbClr val="000080"/>
              </a:solidFill>
              <a:ln w="12700">
                <a:solidFill>
                  <a:srgbClr val="000000"/>
                </a:solidFill>
                <a:prstDash val="solid"/>
              </a:ln>
            </c:spPr>
          </c:dPt>
          <c:dPt>
            <c:idx val="9"/>
            <c:spPr>
              <a:solidFill>
                <a:srgbClr val="FF00FF"/>
              </a:solidFill>
              <a:ln w="12700">
                <a:solidFill>
                  <a:srgbClr val="000000"/>
                </a:solidFill>
                <a:prstDash val="solid"/>
              </a:ln>
            </c:spPr>
          </c:dPt>
          <c:dLbls>
            <c:dLbl>
              <c:idx val="0"/>
              <c:layout>
                <c:manualLayout>
                  <c:x val="-0.22420887203914341"/>
                  <c:y val="5.1866453756219136E-2"/>
                </c:manualLayout>
              </c:layout>
              <c:tx>
                <c:rich>
                  <a:bodyPr/>
                  <a:lstStyle/>
                  <a:p>
                    <a:r>
                      <a:rPr lang="ja-JP" altLang="en-US"/>
                      <a:t>民生費</a:t>
                    </a:r>
                    <a:r>
                      <a:rPr lang="en-US" altLang="ja-JP"/>
                      <a:t>33.0(32.8)</a:t>
                    </a:r>
                  </a:p>
                </c:rich>
              </c:tx>
              <c:dLblPos val="bestFit"/>
              <c:extLst>
                <c:ext xmlns:c15="http://schemas.microsoft.com/office/drawing/2012/chart" uri="{CE6537A1-D6FC-4f65-9D91-7224C49458BB}">
                  <c15:layout/>
                </c:ext>
              </c:extLst>
            </c:dLbl>
            <c:dLbl>
              <c:idx val="1"/>
              <c:layout>
                <c:manualLayout>
                  <c:x val="-0.18145021224198826"/>
                  <c:y val="-0.20738334281641443"/>
                </c:manualLayout>
              </c:layout>
              <c:tx>
                <c:rich>
                  <a:bodyPr/>
                  <a:lstStyle/>
                  <a:p>
                    <a:r>
                      <a:rPr lang="ja-JP" altLang="en-US"/>
                      <a:t>土木費</a:t>
                    </a:r>
                    <a:r>
                      <a:rPr lang="en-US" altLang="ja-JP"/>
                      <a:t>15.3(13.7) </a:t>
                    </a:r>
                  </a:p>
                </c:rich>
              </c:tx>
              <c:dLblPos val="bestFit"/>
              <c:extLst>
                <c:ext xmlns:c15="http://schemas.microsoft.com/office/drawing/2012/chart" uri="{CE6537A1-D6FC-4f65-9D91-7224C49458BB}">
                  <c15:layout/>
                </c:ext>
              </c:extLst>
            </c:dLbl>
            <c:dLbl>
              <c:idx val="2"/>
              <c:layout>
                <c:manualLayout>
                  <c:x val="-5.6788179255370851E-2"/>
                  <c:y val="-0.29917393192983766"/>
                </c:manualLayout>
              </c:layout>
              <c:tx>
                <c:rich>
                  <a:bodyPr/>
                  <a:lstStyle/>
                  <a:p>
                    <a:r>
                      <a:rPr lang="ja-JP" altLang="en-US"/>
                      <a:t>教育費</a:t>
                    </a:r>
                    <a:r>
                      <a:rPr lang="en-US" altLang="ja-JP"/>
                      <a:t>9.8(12.3</a:t>
                    </a:r>
                    <a:r>
                      <a:rPr lang="ja-JP" altLang="en-US"/>
                      <a:t>）</a:t>
                    </a:r>
                  </a:p>
                </c:rich>
              </c:tx>
              <c:dLblPos val="bestFit"/>
              <c:extLst>
                <c:ext xmlns:c15="http://schemas.microsoft.com/office/drawing/2012/chart" uri="{CE6537A1-D6FC-4f65-9D91-7224C49458BB}">
                  <c15:layout/>
                </c:ext>
              </c:extLst>
            </c:dLbl>
            <c:dLbl>
              <c:idx val="3"/>
              <c:layout>
                <c:manualLayout>
                  <c:x val="0.33164333624963582"/>
                  <c:y val="-0.11350721020012362"/>
                </c:manualLayout>
              </c:layout>
              <c:tx>
                <c:rich>
                  <a:bodyPr/>
                  <a:lstStyle/>
                  <a:p>
                    <a:r>
                      <a:rPr lang="ja-JP" altLang="en-US"/>
                      <a:t>公債費</a:t>
                    </a:r>
                    <a:r>
                      <a:rPr lang="en-US" altLang="ja-JP"/>
                      <a:t>13.5(13.9) </a:t>
                    </a:r>
                  </a:p>
                </c:rich>
              </c:tx>
              <c:dLblPos val="bestFit"/>
              <c:extLst>
                <c:ext xmlns:c15="http://schemas.microsoft.com/office/drawing/2012/chart" uri="{CE6537A1-D6FC-4f65-9D91-7224C49458BB}">
                  <c15:layout/>
                </c:ext>
              </c:extLst>
            </c:dLbl>
            <c:dLbl>
              <c:idx val="4"/>
              <c:layout>
                <c:manualLayout>
                  <c:x val="9.3953533586080162E-2"/>
                  <c:y val="2.2255260050535733E-3"/>
                </c:manualLayout>
              </c:layout>
              <c:tx>
                <c:rich>
                  <a:bodyPr/>
                  <a:lstStyle/>
                  <a:p>
                    <a:r>
                      <a:rPr lang="ja-JP" altLang="en-US"/>
                      <a:t>衛生費</a:t>
                    </a:r>
                    <a:r>
                      <a:rPr lang="en-US" altLang="ja-JP"/>
                      <a:t>8.8(6.7) </a:t>
                    </a:r>
                  </a:p>
                </c:rich>
              </c:tx>
              <c:dLblPos val="bestFit"/>
              <c:extLst>
                <c:ext xmlns:c15="http://schemas.microsoft.com/office/drawing/2012/chart" uri="{CE6537A1-D6FC-4f65-9D91-7224C49458BB}">
                  <c15:layout/>
                </c:ext>
              </c:extLst>
            </c:dLbl>
            <c:dLbl>
              <c:idx val="5"/>
              <c:layout>
                <c:manualLayout>
                  <c:x val="6.3869932925051331E-2"/>
                  <c:y val="1.5480302724397241E-2"/>
                </c:manualLayout>
              </c:layout>
              <c:tx>
                <c:rich>
                  <a:bodyPr/>
                  <a:lstStyle/>
                  <a:p>
                    <a:r>
                      <a:rPr lang="ja-JP" altLang="en-US"/>
                      <a:t>総務費</a:t>
                    </a:r>
                    <a:r>
                      <a:rPr lang="en-US" altLang="ja-JP"/>
                      <a:t>7.1(7.4) </a:t>
                    </a:r>
                  </a:p>
                </c:rich>
              </c:tx>
              <c:dLblPos val="bestFit"/>
            </c:dLbl>
            <c:dLbl>
              <c:idx val="6"/>
              <c:layout>
                <c:manualLayout>
                  <c:x val="-5.2109620556689933E-2"/>
                  <c:y val="-2.9933496075228452E-2"/>
                </c:manualLayout>
              </c:layout>
              <c:tx>
                <c:rich>
                  <a:bodyPr/>
                  <a:lstStyle/>
                  <a:p>
                    <a:r>
                      <a:rPr lang="ja-JP" altLang="en-US"/>
                      <a:t>商工費</a:t>
                    </a:r>
                    <a:r>
                      <a:rPr lang="en-US" altLang="ja-JP"/>
                      <a:t>6.7(6.9) </a:t>
                    </a:r>
                  </a:p>
                </c:rich>
              </c:tx>
              <c:dLblPos val="bestFit"/>
              <c:extLst>
                <c:ext xmlns:c15="http://schemas.microsoft.com/office/drawing/2012/chart" uri="{CE6537A1-D6FC-4f65-9D91-7224C49458BB}">
                  <c15:layout/>
                </c:ext>
              </c:extLst>
            </c:dLbl>
            <c:dLbl>
              <c:idx val="7"/>
              <c:layout>
                <c:manualLayout>
                  <c:x val="-0.13754576974174523"/>
                  <c:y val="-0.10209227343085803"/>
                </c:manualLayout>
              </c:layout>
              <c:tx>
                <c:rich>
                  <a:bodyPr/>
                  <a:lstStyle/>
                  <a:p>
                    <a:r>
                      <a:rPr lang="ja-JP" altLang="en-US"/>
                      <a:t>消防費</a:t>
                    </a:r>
                    <a:r>
                      <a:rPr lang="en-US" altLang="ja-JP"/>
                      <a:t>3.6(3.5) </a:t>
                    </a:r>
                  </a:p>
                </c:rich>
              </c:tx>
              <c:dLblPos val="bestFit"/>
              <c:extLst>
                <c:ext xmlns:c15="http://schemas.microsoft.com/office/drawing/2012/chart" uri="{CE6537A1-D6FC-4f65-9D91-7224C49458BB}">
                  <c15:layout/>
                </c:ext>
              </c:extLst>
            </c:dLbl>
            <c:dLbl>
              <c:idx val="8"/>
              <c:layout>
                <c:manualLayout>
                  <c:x val="-6.6176079841872112E-2"/>
                  <c:y val="-0.15492734736829594"/>
                </c:manualLayout>
              </c:layout>
              <c:tx>
                <c:rich>
                  <a:bodyPr/>
                  <a:lstStyle/>
                  <a:p>
                    <a:r>
                      <a:rPr lang="ja-JP" altLang="en-US"/>
                      <a:t>農林水産業費</a:t>
                    </a:r>
                    <a:r>
                      <a:rPr lang="en-US" altLang="ja-JP"/>
                      <a:t>1.3(1.6) </a:t>
                    </a:r>
                  </a:p>
                </c:rich>
              </c:tx>
              <c:dLblPos val="bestFit"/>
              <c:extLst>
                <c:ext xmlns:c15="http://schemas.microsoft.com/office/drawing/2012/chart" uri="{CE6537A1-D6FC-4f65-9D91-7224C49458BB}">
                  <c15:layout/>
                </c:ext>
              </c:extLst>
            </c:dLbl>
            <c:dLbl>
              <c:idx val="9"/>
              <c:layout>
                <c:manualLayout>
                  <c:x val="0.12584270719788199"/>
                  <c:y val="-0.15814604078074032"/>
                </c:manualLayout>
              </c:layout>
              <c:tx>
                <c:rich>
                  <a:bodyPr/>
                  <a:lstStyle/>
                  <a:p>
                    <a:r>
                      <a:rPr lang="ja-JP" altLang="en-US"/>
                      <a:t>その他</a:t>
                    </a:r>
                    <a:r>
                      <a:rPr lang="en-US" altLang="ja-JP"/>
                      <a:t>0.9(1.2)</a:t>
                    </a:r>
                  </a:p>
                </c:rich>
              </c:tx>
              <c:dLblPos val="bestFit"/>
              <c:extLst>
                <c:ext xmlns:c15="http://schemas.microsoft.com/office/drawing/2012/chart" uri="{CE6537A1-D6FC-4f65-9D91-7224C49458BB}">
                  <c15:layout/>
                </c:ext>
              </c:extLst>
            </c:dLbl>
            <c:spPr>
              <a:solidFill>
                <a:srgbClr val="FFFFFF"/>
              </a:solidFill>
              <a:ln w="25400">
                <a:noFill/>
              </a:ln>
            </c:spPr>
            <c:txPr>
              <a:bodyPr/>
              <a:lstStyle/>
              <a:p>
                <a:pPr>
                  <a:defRPr sz="975" b="0" i="0" u="none" strike="noStrike" baseline="0">
                    <a:solidFill>
                      <a:srgbClr val="000000"/>
                    </a:solidFill>
                    <a:latin typeface="ＭＳ 明朝"/>
                    <a:ea typeface="ＭＳ 明朝"/>
                    <a:cs typeface="ＭＳ 明朝"/>
                  </a:defRPr>
                </a:pPr>
                <a:endParaRPr lang="ja-JP"/>
              </a:p>
            </c:txPr>
            <c:showVal val="1"/>
            <c:showLeaderLines val="1"/>
            <c:extLst>
              <c:ext xmlns:c15="http://schemas.microsoft.com/office/drawing/2012/chart" uri="{CE6537A1-D6FC-4f65-9D91-7224C49458BB}"/>
            </c:extLst>
          </c:dLbls>
          <c:cat>
            <c:strRef>
              <c:f>Sheet1!$B$1:$K$1</c:f>
              <c:strCache>
                <c:ptCount val="10"/>
                <c:pt idx="0">
                  <c:v>民生費</c:v>
                </c:pt>
                <c:pt idx="1">
                  <c:v>土木費</c:v>
                </c:pt>
                <c:pt idx="2">
                  <c:v>公債費</c:v>
                </c:pt>
                <c:pt idx="3">
                  <c:v>教育費</c:v>
                </c:pt>
                <c:pt idx="4">
                  <c:v>衛生費</c:v>
                </c:pt>
                <c:pt idx="5">
                  <c:v>総務費</c:v>
                </c:pt>
                <c:pt idx="6">
                  <c:v>商工費</c:v>
                </c:pt>
                <c:pt idx="7">
                  <c:v>消防費</c:v>
                </c:pt>
                <c:pt idx="8">
                  <c:v>農林水産業費</c:v>
                </c:pt>
                <c:pt idx="9">
                  <c:v>その他</c:v>
                </c:pt>
              </c:strCache>
            </c:strRef>
          </c:cat>
          <c:val>
            <c:numRef>
              <c:f>Sheet1!$B$2:$K$2</c:f>
              <c:numCache>
                <c:formatCode>0.0_ </c:formatCode>
                <c:ptCount val="10"/>
                <c:pt idx="0" formatCode="General">
                  <c:v>33</c:v>
                </c:pt>
                <c:pt idx="1">
                  <c:v>15.3</c:v>
                </c:pt>
                <c:pt idx="2" formatCode="General">
                  <c:v>13.5</c:v>
                </c:pt>
                <c:pt idx="3">
                  <c:v>9.8000000000000007</c:v>
                </c:pt>
                <c:pt idx="4">
                  <c:v>8.8000000000000007</c:v>
                </c:pt>
                <c:pt idx="5">
                  <c:v>7.1</c:v>
                </c:pt>
                <c:pt idx="6">
                  <c:v>6.7</c:v>
                </c:pt>
                <c:pt idx="7">
                  <c:v>3.6</c:v>
                </c:pt>
                <c:pt idx="8">
                  <c:v>1.3</c:v>
                </c:pt>
                <c:pt idx="9">
                  <c:v>0.9</c:v>
                </c:pt>
              </c:numCache>
            </c:numRef>
          </c:val>
        </c:ser>
        <c:dLbls>
          <c:showVal val="1"/>
          <c:showCatName val="1"/>
        </c:dLbls>
      </c:pie3DChart>
      <c:spPr>
        <a:noFill/>
        <a:ln w="25400">
          <a:noFill/>
        </a:ln>
      </c:spPr>
    </c:plotArea>
    <c:plotVisOnly val="1"/>
    <c:dispBlanksAs val="zero"/>
  </c:chart>
  <c:spPr>
    <a:noFill/>
    <a:ln>
      <a:noFill/>
    </a:ln>
  </c:spPr>
  <c:txPr>
    <a:bodyPr/>
    <a:lstStyle/>
    <a:p>
      <a:pPr>
        <a:defRPr sz="1025" b="0" i="0" u="none" strike="noStrike" baseline="0">
          <a:solidFill>
            <a:srgbClr val="000000"/>
          </a:solidFill>
          <a:latin typeface="ＭＳ 明朝"/>
          <a:ea typeface="ＭＳ 明朝"/>
          <a:cs typeface="ＭＳ 明朝"/>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A7707-BA11-47C1-9052-F1C13B9D3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3135</TotalTime>
  <Pages>6</Pages>
  <Words>213</Words>
  <Characters>1216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140</cp:revision>
  <cp:lastPrinted>2017-08-10T02:32:00Z</cp:lastPrinted>
  <dcterms:created xsi:type="dcterms:W3CDTF">2013-09-11T05:53:00Z</dcterms:created>
  <dcterms:modified xsi:type="dcterms:W3CDTF">2017-10-04T01:17:00Z</dcterms:modified>
</cp:coreProperties>
</file>