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決　算　の　概　要</w:t>
      </w:r>
    </w:p>
    <w:p w:rsidR="00C6011D" w:rsidRPr="00614BC1" w:rsidRDefault="00C6011D" w:rsidP="00C6011D">
      <w:pPr>
        <w:kinsoku w:val="0"/>
        <w:overflowPunct w:val="0"/>
        <w:snapToGrid w:val="0"/>
        <w:spacing w:line="240" w:lineRule="auto"/>
        <w:rPr>
          <w:rFonts w:ascii="ＭＳ ゴシック" w:eastAsia="ＭＳ ゴシック" w:hAnsi="ＭＳ ゴシック"/>
          <w:szCs w:val="24"/>
        </w:rPr>
      </w:pPr>
    </w:p>
    <w:p w:rsidR="00C6011D" w:rsidRPr="00614BC1"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614BC1">
        <w:rPr>
          <w:rFonts w:ascii="ＭＳ ゴシック" w:eastAsia="ＭＳ ゴシック" w:hAnsi="ＭＳ ゴシック" w:hint="eastAsia"/>
          <w:szCs w:val="24"/>
        </w:rPr>
        <w:t>１　決算規模</w:t>
      </w:r>
    </w:p>
    <w:p w:rsidR="00C6011D" w:rsidRPr="00614BC1" w:rsidRDefault="00C6011D" w:rsidP="00C6011D">
      <w:pPr>
        <w:spacing w:line="240" w:lineRule="auto"/>
        <w:ind w:firstLineChars="300" w:firstLine="723"/>
        <w:rPr>
          <w:rFonts w:hAnsi="ＭＳ 明朝"/>
          <w:szCs w:val="24"/>
        </w:rPr>
      </w:pPr>
      <w:r w:rsidRPr="00614BC1">
        <w:rPr>
          <w:rFonts w:hAnsi="ＭＳ 明朝" w:hint="eastAsia"/>
          <w:szCs w:val="24"/>
        </w:rPr>
        <w:t>平成</w:t>
      </w:r>
      <w:r w:rsidR="00614BC1" w:rsidRPr="00614BC1">
        <w:rPr>
          <w:rFonts w:hAnsi="ＭＳ 明朝" w:hint="eastAsia"/>
          <w:szCs w:val="24"/>
        </w:rPr>
        <w:t>28</w:t>
      </w:r>
      <w:r w:rsidRPr="00614BC1">
        <w:rPr>
          <w:rFonts w:hAnsi="ＭＳ 明朝" w:hint="eastAsia"/>
          <w:szCs w:val="24"/>
        </w:rPr>
        <w:t>年度の一般会計と特別会計を合計した総計決算額は次のとおりである。</w:t>
      </w:r>
    </w:p>
    <w:p w:rsidR="00C6011D" w:rsidRPr="0046642F" w:rsidRDefault="00C6011D" w:rsidP="00C6011D">
      <w:pPr>
        <w:spacing w:line="240" w:lineRule="auto"/>
        <w:rPr>
          <w:rFonts w:hAnsi="ＭＳ 明朝"/>
          <w:szCs w:val="24"/>
          <w:shd w:val="pct15" w:color="auto" w:fill="FFFFFF"/>
        </w:rPr>
      </w:pPr>
    </w:p>
    <w:p w:rsidR="00C6011D" w:rsidRPr="00E71FEC" w:rsidRDefault="00C6011D" w:rsidP="00C6011D">
      <w:pPr>
        <w:spacing w:line="240" w:lineRule="auto"/>
        <w:rPr>
          <w:rFonts w:hAnsi="ＭＳ 明朝"/>
          <w:szCs w:val="24"/>
        </w:rPr>
      </w:pPr>
      <w:r w:rsidRPr="00E71FEC">
        <w:rPr>
          <w:rFonts w:hAnsi="ＭＳ 明朝" w:hint="eastAsia"/>
          <w:szCs w:val="24"/>
        </w:rPr>
        <w:t xml:space="preserve">　　歳　入　　</w:t>
      </w:r>
      <w:r w:rsidR="00614BC1" w:rsidRPr="00E71FEC">
        <w:rPr>
          <w:rFonts w:hAnsi="ＭＳ 明朝" w:hint="eastAsia"/>
          <w:szCs w:val="24"/>
        </w:rPr>
        <w:t>112,934,103</w:t>
      </w:r>
      <w:r w:rsidRPr="00E71FEC">
        <w:rPr>
          <w:rFonts w:hAnsi="ＭＳ 明朝" w:hint="eastAsia"/>
          <w:szCs w:val="24"/>
        </w:rPr>
        <w:t>千円（予算現額に対する収入率</w:t>
      </w:r>
      <w:r w:rsidR="00614BC1" w:rsidRPr="00E71FEC">
        <w:rPr>
          <w:rFonts w:hAnsi="ＭＳ 明朝" w:hint="eastAsia"/>
          <w:szCs w:val="24"/>
        </w:rPr>
        <w:t>92.9</w:t>
      </w:r>
      <w:r w:rsidRPr="00E71FEC">
        <w:rPr>
          <w:rFonts w:hAnsi="ＭＳ 明朝" w:hint="eastAsia"/>
          <w:szCs w:val="24"/>
        </w:rPr>
        <w:t>％）</w:t>
      </w:r>
    </w:p>
    <w:p w:rsidR="00C6011D" w:rsidRPr="00E71FEC" w:rsidRDefault="00C6011D" w:rsidP="00C6011D">
      <w:pPr>
        <w:spacing w:line="240" w:lineRule="auto"/>
        <w:rPr>
          <w:rFonts w:hAnsi="ＭＳ 明朝"/>
          <w:szCs w:val="24"/>
        </w:rPr>
      </w:pPr>
      <w:r w:rsidRPr="00E71FEC">
        <w:rPr>
          <w:rFonts w:hAnsi="ＭＳ 明朝" w:hint="eastAsia"/>
          <w:szCs w:val="24"/>
        </w:rPr>
        <w:t xml:space="preserve">　　　　　　　前年度に比べ</w:t>
      </w:r>
      <w:r w:rsidR="00E71FEC" w:rsidRPr="00E71FEC">
        <w:rPr>
          <w:rFonts w:hAnsi="ＭＳ 明朝" w:hint="eastAsia"/>
          <w:szCs w:val="24"/>
        </w:rPr>
        <w:t>3,892,077</w:t>
      </w:r>
      <w:r w:rsidRPr="00E71FEC">
        <w:rPr>
          <w:rFonts w:hAnsi="ＭＳ 明朝" w:hint="eastAsia"/>
          <w:szCs w:val="24"/>
        </w:rPr>
        <w:t>千円（</w:t>
      </w:r>
      <w:r w:rsidR="00E71FEC" w:rsidRPr="00E71FEC">
        <w:rPr>
          <w:rFonts w:hAnsi="ＭＳ 明朝" w:hint="eastAsia"/>
          <w:szCs w:val="24"/>
        </w:rPr>
        <w:t>3.6</w:t>
      </w:r>
      <w:r w:rsidRPr="00E71FEC">
        <w:rPr>
          <w:rFonts w:hAnsi="ＭＳ 明朝" w:hint="eastAsia"/>
          <w:szCs w:val="24"/>
        </w:rPr>
        <w:t>％）</w:t>
      </w:r>
      <w:r w:rsidR="00E71FEC" w:rsidRPr="00E71FEC">
        <w:rPr>
          <w:rFonts w:hAnsi="ＭＳ 明朝" w:hint="eastAsia"/>
          <w:szCs w:val="24"/>
        </w:rPr>
        <w:t>増加</w:t>
      </w:r>
      <w:r w:rsidRPr="00E71FEC">
        <w:rPr>
          <w:rFonts w:hAnsi="ＭＳ 明朝" w:hint="eastAsia"/>
          <w:szCs w:val="24"/>
        </w:rPr>
        <w:t>している。</w:t>
      </w:r>
    </w:p>
    <w:p w:rsidR="00C6011D" w:rsidRPr="00E71FEC" w:rsidRDefault="00C6011D" w:rsidP="00C6011D">
      <w:pPr>
        <w:spacing w:line="240" w:lineRule="auto"/>
        <w:rPr>
          <w:rFonts w:hAnsi="ＭＳ 明朝"/>
          <w:szCs w:val="24"/>
        </w:rPr>
      </w:pPr>
      <w:r w:rsidRPr="00E71FEC">
        <w:rPr>
          <w:rFonts w:hAnsi="ＭＳ 明朝" w:hint="eastAsia"/>
          <w:szCs w:val="24"/>
        </w:rPr>
        <w:t xml:space="preserve">　　歳　出　　</w:t>
      </w:r>
      <w:r w:rsidR="00614BC1" w:rsidRPr="00E71FEC">
        <w:rPr>
          <w:rFonts w:hAnsi="ＭＳ 明朝" w:hint="eastAsia"/>
          <w:szCs w:val="24"/>
        </w:rPr>
        <w:t>111,660,658</w:t>
      </w:r>
      <w:r w:rsidRPr="00E71FEC">
        <w:rPr>
          <w:rFonts w:hAnsi="ＭＳ 明朝" w:hint="eastAsia"/>
          <w:szCs w:val="24"/>
        </w:rPr>
        <w:t>千円（予算現額に対する執行率</w:t>
      </w:r>
      <w:r w:rsidR="00E71FEC" w:rsidRPr="00E71FEC">
        <w:rPr>
          <w:rFonts w:hAnsi="ＭＳ 明朝" w:hint="eastAsia"/>
          <w:szCs w:val="24"/>
        </w:rPr>
        <w:t>91.9</w:t>
      </w:r>
      <w:r w:rsidRPr="00E71FEC">
        <w:rPr>
          <w:rFonts w:hAnsi="ＭＳ 明朝" w:hint="eastAsia"/>
          <w:szCs w:val="24"/>
        </w:rPr>
        <w:t>％）</w:t>
      </w:r>
    </w:p>
    <w:p w:rsidR="00C6011D" w:rsidRPr="00E71FEC" w:rsidRDefault="00C6011D" w:rsidP="00C6011D">
      <w:pPr>
        <w:spacing w:line="240" w:lineRule="auto"/>
        <w:rPr>
          <w:rFonts w:hAnsi="ＭＳ 明朝"/>
          <w:szCs w:val="24"/>
        </w:rPr>
      </w:pPr>
      <w:r w:rsidRPr="00E71FEC">
        <w:rPr>
          <w:rFonts w:hAnsi="ＭＳ 明朝" w:hint="eastAsia"/>
          <w:szCs w:val="24"/>
        </w:rPr>
        <w:t xml:space="preserve">　　　　　　　前年度に比べ</w:t>
      </w:r>
      <w:r w:rsidR="00E71FEC" w:rsidRPr="00E71FEC">
        <w:rPr>
          <w:rFonts w:hAnsi="ＭＳ 明朝" w:hint="eastAsia"/>
          <w:szCs w:val="24"/>
        </w:rPr>
        <w:t>4,172,957</w:t>
      </w:r>
      <w:r w:rsidRPr="00E71FEC">
        <w:rPr>
          <w:rFonts w:hAnsi="ＭＳ 明朝" w:hint="eastAsia"/>
          <w:szCs w:val="24"/>
        </w:rPr>
        <w:t>千円（</w:t>
      </w:r>
      <w:r w:rsidR="00E71FEC" w:rsidRPr="00E71FEC">
        <w:rPr>
          <w:rFonts w:hAnsi="ＭＳ 明朝" w:hint="eastAsia"/>
          <w:szCs w:val="24"/>
        </w:rPr>
        <w:t>3.9</w:t>
      </w:r>
      <w:r w:rsidR="00EE7AAC" w:rsidRPr="00E71FEC">
        <w:rPr>
          <w:rFonts w:hAnsi="ＭＳ 明朝" w:hint="eastAsia"/>
          <w:szCs w:val="24"/>
        </w:rPr>
        <w:t>％</w:t>
      </w:r>
      <w:r w:rsidRPr="00E71FEC">
        <w:rPr>
          <w:rFonts w:hAnsi="ＭＳ 明朝" w:hint="eastAsia"/>
          <w:szCs w:val="24"/>
        </w:rPr>
        <w:t>）</w:t>
      </w:r>
      <w:r w:rsidR="00E71FEC" w:rsidRPr="00E71FEC">
        <w:rPr>
          <w:rFonts w:hAnsi="ＭＳ 明朝" w:hint="eastAsia"/>
          <w:szCs w:val="24"/>
        </w:rPr>
        <w:t>増加</w:t>
      </w:r>
      <w:r w:rsidRPr="00E71FEC">
        <w:rPr>
          <w:rFonts w:hAnsi="ＭＳ 明朝" w:hint="eastAsia"/>
          <w:szCs w:val="24"/>
        </w:rPr>
        <w:t>している。</w:t>
      </w:r>
    </w:p>
    <w:p w:rsidR="00C6011D" w:rsidRPr="00E71FEC" w:rsidRDefault="00C6011D" w:rsidP="00C6011D">
      <w:pPr>
        <w:spacing w:line="240" w:lineRule="auto"/>
        <w:rPr>
          <w:rFonts w:hAnsi="ＭＳ 明朝"/>
          <w:szCs w:val="24"/>
        </w:rPr>
      </w:pPr>
      <w:r w:rsidRPr="00E71FEC">
        <w:rPr>
          <w:rFonts w:hAnsi="ＭＳ 明朝" w:hint="eastAsia"/>
          <w:szCs w:val="24"/>
        </w:rPr>
        <w:t xml:space="preserve">　　差引額　　</w:t>
      </w:r>
      <w:r w:rsidR="00E71FEC" w:rsidRPr="00E71FEC">
        <w:rPr>
          <w:rFonts w:hAnsi="ＭＳ 明朝" w:hint="eastAsia"/>
          <w:szCs w:val="24"/>
        </w:rPr>
        <w:t>1,273,445</w:t>
      </w:r>
      <w:r w:rsidRPr="00E71FEC">
        <w:rPr>
          <w:rFonts w:hAnsi="ＭＳ 明朝" w:hint="eastAsia"/>
          <w:szCs w:val="24"/>
        </w:rPr>
        <w:t>千円</w:t>
      </w:r>
    </w:p>
    <w:p w:rsidR="00C6011D" w:rsidRPr="00E71FEC" w:rsidRDefault="00C6011D" w:rsidP="00C6011D">
      <w:pPr>
        <w:kinsoku w:val="0"/>
        <w:overflowPunct w:val="0"/>
        <w:snapToGrid w:val="0"/>
        <w:spacing w:line="240" w:lineRule="auto"/>
        <w:rPr>
          <w:rFonts w:hAnsi="ＭＳ 明朝"/>
          <w:szCs w:val="24"/>
        </w:rPr>
      </w:pPr>
    </w:p>
    <w:p w:rsidR="00D737A6" w:rsidRPr="00E71FEC" w:rsidRDefault="00D737A6"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E71FEC"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rsidR="00BD4BD4" w:rsidRPr="00836AE0" w:rsidRDefault="00C6011D" w:rsidP="00C6011D">
      <w:pPr>
        <w:kinsoku w:val="0"/>
        <w:overflowPunct w:val="0"/>
        <w:snapToGrid w:val="0"/>
        <w:spacing w:line="240" w:lineRule="auto"/>
        <w:ind w:firstLineChars="100" w:firstLine="241"/>
        <w:rPr>
          <w:rFonts w:ascii="ＭＳ ゴシック" w:eastAsia="ＭＳ ゴシック" w:hAnsi="ＭＳ ゴシック"/>
          <w:sz w:val="22"/>
          <w:szCs w:val="22"/>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836AE0">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3549FE">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Pr="00836AE0">
        <w:rPr>
          <w:rFonts w:hAnsi="ＭＳ 明朝" w:hint="eastAsia"/>
          <w:sz w:val="22"/>
          <w:szCs w:val="22"/>
        </w:rPr>
        <w:t>（単位：千円・％）</w:t>
      </w:r>
    </w:p>
    <w:bookmarkStart w:id="0" w:name="_MON_1438429131"/>
    <w:bookmarkEnd w:id="0"/>
    <w:p w:rsidR="00776F92" w:rsidRDefault="00614BC1" w:rsidP="00E7433F">
      <w:pPr>
        <w:ind w:firstLineChars="117" w:firstLine="282"/>
        <w:rPr>
          <w:rFonts w:hAnsi="ＭＳ 明朝"/>
          <w:szCs w:val="24"/>
        </w:rPr>
      </w:pPr>
      <w:r w:rsidRPr="00C6011D">
        <w:rPr>
          <w:rFonts w:hAnsi="ＭＳ 明朝"/>
          <w:szCs w:val="24"/>
        </w:rPr>
        <w:object w:dxaOrig="9689" w:dyaOrig="3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1pt;height:187.8pt" o:ole="">
            <v:imagedata r:id="rId7" o:title=""/>
          </v:shape>
          <o:OLEObject Type="Embed" ProgID="Excel.Sheet.12" ShapeID="_x0000_i1025" DrawAspect="Content" ObjectID="_1568631025" r:id="rId8"/>
        </w:object>
      </w:r>
      <w:r w:rsidR="00D737A6">
        <w:rPr>
          <w:rFonts w:hAnsi="ＭＳ 明朝" w:hint="eastAsia"/>
          <w:szCs w:val="24"/>
        </w:rPr>
        <w:t xml:space="preserve">　</w:t>
      </w:r>
    </w:p>
    <w:p w:rsidR="00C6011D" w:rsidRPr="00C6011D" w:rsidRDefault="00C6011D" w:rsidP="00C6011D">
      <w:pPr>
        <w:spacing w:line="240" w:lineRule="auto"/>
        <w:rPr>
          <w:rFonts w:hAnsi="ＭＳ 明朝"/>
          <w:szCs w:val="24"/>
        </w:rPr>
      </w:pPr>
    </w:p>
    <w:p w:rsidR="00C974DC" w:rsidRDefault="00C974DC" w:rsidP="00C6011D">
      <w:pPr>
        <w:spacing w:line="240" w:lineRule="auto"/>
        <w:rPr>
          <w:rFonts w:hAnsi="ＭＳ 明朝"/>
          <w:szCs w:val="24"/>
        </w:rPr>
        <w:sectPr w:rsidR="00C974DC" w:rsidSect="00BB3C9C">
          <w:footerReference w:type="default" r:id="rId9"/>
          <w:pgSz w:w="11906" w:h="16838" w:code="9"/>
          <w:pgMar w:top="1134" w:right="1134" w:bottom="1134" w:left="1134" w:header="851" w:footer="510" w:gutter="0"/>
          <w:pgNumType w:fmt="numberInDash" w:start="4"/>
          <w:cols w:space="425"/>
          <w:docGrid w:type="linesAndChars" w:linePitch="360" w:charSpace="194"/>
        </w:sectPr>
      </w:pPr>
    </w:p>
    <w:p w:rsidR="00C974DC" w:rsidRPr="00C974DC" w:rsidRDefault="00C974DC" w:rsidP="00C974DC">
      <w:pPr>
        <w:autoSpaceDE/>
        <w:autoSpaceDN/>
        <w:spacing w:line="240" w:lineRule="auto"/>
        <w:jc w:val="right"/>
        <w:rPr>
          <w:rFonts w:ascii="ＭＳ ゴシック" w:eastAsia="ＭＳ ゴシック" w:hAnsi="ＭＳ ゴシック"/>
          <w:kern w:val="2"/>
          <w:sz w:val="32"/>
          <w:szCs w:val="32"/>
        </w:rPr>
      </w:pPr>
      <w:r w:rsidRPr="00C974DC">
        <w:rPr>
          <w:rFonts w:ascii="ＭＳ ゴシック" w:eastAsia="ＭＳ ゴシック" w:hAnsi="ＭＳ ゴシック" w:hint="eastAsia"/>
          <w:kern w:val="2"/>
          <w:sz w:val="32"/>
          <w:szCs w:val="32"/>
        </w:rPr>
        <w:lastRenderedPageBreak/>
        <w:t>歳　入　歳　出</w:t>
      </w:r>
    </w:p>
    <w:p w:rsidR="00C974DC" w:rsidRPr="00C974DC" w:rsidRDefault="00C974DC" w:rsidP="00C974DC">
      <w:pPr>
        <w:autoSpaceDE/>
        <w:autoSpaceDN/>
        <w:spacing w:line="240" w:lineRule="auto"/>
        <w:jc w:val="right"/>
        <w:rPr>
          <w:rFonts w:ascii="ＭＳ ゴシック" w:eastAsia="ＭＳ ゴシック" w:hAnsi="ＭＳ ゴシック"/>
          <w:kern w:val="2"/>
          <w:szCs w:val="24"/>
        </w:rPr>
      </w:pPr>
    </w:p>
    <w:bookmarkStart w:id="1" w:name="_MON_1438430576"/>
    <w:bookmarkEnd w:id="1"/>
    <w:p w:rsidR="00C974DC" w:rsidRPr="00C974DC" w:rsidRDefault="00C974DC" w:rsidP="00C974DC">
      <w:pPr>
        <w:autoSpaceDE/>
        <w:autoSpaceDN/>
        <w:spacing w:line="240" w:lineRule="auto"/>
        <w:rPr>
          <w:kern w:val="2"/>
          <w:szCs w:val="22"/>
        </w:rPr>
      </w:pPr>
      <w:r w:rsidRPr="00C974DC">
        <w:rPr>
          <w:kern w:val="2"/>
          <w:szCs w:val="22"/>
        </w:rPr>
        <w:object w:dxaOrig="9523" w:dyaOrig="10278">
          <v:shape id="_x0000_i1026" type="#_x0000_t75" style="width:482.1pt;height:517.25pt" o:ole="">
            <v:imagedata r:id="rId10" o:title=""/>
          </v:shape>
          <o:OLEObject Type="Embed" ProgID="Excel.Sheet.12" ShapeID="_x0000_i1026" DrawAspect="Content" ObjectID="_1568631026" r:id="rId11"/>
        </w:object>
      </w:r>
    </w:p>
    <w:p w:rsidR="00C974DC" w:rsidRPr="00C974DC" w:rsidRDefault="00C974DC" w:rsidP="00C974DC">
      <w:pPr>
        <w:autoSpaceDE/>
        <w:autoSpaceDN/>
        <w:spacing w:line="240" w:lineRule="auto"/>
        <w:rPr>
          <w:kern w:val="2"/>
          <w:szCs w:val="22"/>
        </w:rPr>
      </w:pPr>
      <w:r w:rsidRPr="00C974DC">
        <w:rPr>
          <w:rFonts w:hint="eastAsia"/>
          <w:kern w:val="2"/>
          <w:szCs w:val="22"/>
        </w:rPr>
        <w:t xml:space="preserve">　</w:t>
      </w: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kern w:val="2"/>
          <w:szCs w:val="22"/>
        </w:rPr>
      </w:pPr>
    </w:p>
    <w:p w:rsidR="00C974DC" w:rsidRPr="00C974DC" w:rsidRDefault="00C974DC" w:rsidP="00C974DC">
      <w:pPr>
        <w:autoSpaceDE/>
        <w:autoSpaceDN/>
        <w:spacing w:line="240" w:lineRule="auto"/>
        <w:rPr>
          <w:rFonts w:ascii="ＭＳ ゴシック" w:eastAsia="ＭＳ ゴシック" w:hAnsi="ＭＳ ゴシック"/>
          <w:kern w:val="2"/>
          <w:sz w:val="32"/>
          <w:szCs w:val="32"/>
          <w:shd w:val="pct15" w:color="auto" w:fill="FFFFFF"/>
        </w:rPr>
      </w:pPr>
      <w:r w:rsidRPr="00C974DC">
        <w:rPr>
          <w:rFonts w:ascii="ＭＳ ゴシック" w:eastAsia="ＭＳ ゴシック" w:hAnsi="ＭＳ ゴシック" w:hint="eastAsia"/>
          <w:kern w:val="2"/>
          <w:sz w:val="32"/>
          <w:szCs w:val="32"/>
        </w:rPr>
        <w:lastRenderedPageBreak/>
        <w:t xml:space="preserve">決　算　総　括　表　</w:t>
      </w:r>
    </w:p>
    <w:p w:rsidR="00C974DC" w:rsidRPr="00C974DC" w:rsidRDefault="00C974DC" w:rsidP="00C974DC">
      <w:pPr>
        <w:autoSpaceDE/>
        <w:autoSpaceDN/>
        <w:spacing w:line="240" w:lineRule="auto"/>
        <w:jc w:val="right"/>
        <w:rPr>
          <w:kern w:val="2"/>
          <w:szCs w:val="22"/>
        </w:rPr>
      </w:pPr>
      <w:r w:rsidRPr="00C974DC">
        <w:rPr>
          <w:rFonts w:hint="eastAsia"/>
          <w:kern w:val="2"/>
          <w:szCs w:val="22"/>
        </w:rPr>
        <w:t>（単位：千円・％）</w:t>
      </w:r>
    </w:p>
    <w:bookmarkStart w:id="2" w:name="_MON_1438431927"/>
    <w:bookmarkEnd w:id="2"/>
    <w:p w:rsidR="00C974DC" w:rsidRPr="00C974DC" w:rsidRDefault="00C974DC" w:rsidP="00C974DC">
      <w:pPr>
        <w:autoSpaceDE/>
        <w:autoSpaceDN/>
        <w:spacing w:line="240" w:lineRule="auto"/>
        <w:rPr>
          <w:kern w:val="2"/>
          <w:szCs w:val="22"/>
        </w:rPr>
      </w:pPr>
      <w:r w:rsidRPr="00C974DC">
        <w:rPr>
          <w:kern w:val="2"/>
          <w:szCs w:val="22"/>
        </w:rPr>
        <w:object w:dxaOrig="9566" w:dyaOrig="10300">
          <v:shape id="_x0000_i1027" type="#_x0000_t75" style="width:478.1pt;height:516.1pt" o:ole="">
            <v:imagedata r:id="rId12" o:title=""/>
          </v:shape>
          <o:OLEObject Type="Embed" ProgID="Excel.Sheet.12" ShapeID="_x0000_i1027" DrawAspect="Content" ObjectID="_1568631027" r:id="rId13"/>
        </w:object>
      </w:r>
    </w:p>
    <w:p w:rsidR="00C974DC" w:rsidRDefault="00C974DC" w:rsidP="00C6011D">
      <w:pPr>
        <w:spacing w:line="240" w:lineRule="auto"/>
        <w:rPr>
          <w:rFonts w:hAnsi="ＭＳ 明朝"/>
          <w:szCs w:val="24"/>
        </w:rPr>
        <w:sectPr w:rsidR="00C974DC" w:rsidSect="00BB3C9C">
          <w:pgSz w:w="11906" w:h="16838" w:code="9"/>
          <w:pgMar w:top="1134" w:right="1134" w:bottom="1134" w:left="1134" w:header="851" w:footer="510" w:gutter="0"/>
          <w:pgNumType w:fmt="numberInDash"/>
          <w:cols w:space="425"/>
          <w:docGrid w:type="linesAndChars" w:linePitch="360"/>
        </w:sectPr>
      </w:pPr>
    </w:p>
    <w:p w:rsidR="00C974DC" w:rsidRPr="00C974DC" w:rsidRDefault="00C974DC" w:rsidP="00C974DC">
      <w:pPr>
        <w:kinsoku w:val="0"/>
        <w:overflowPunct w:val="0"/>
        <w:snapToGrid w:val="0"/>
        <w:spacing w:line="276" w:lineRule="auto"/>
        <w:ind w:left="215" w:right="155"/>
        <w:rPr>
          <w:rFonts w:ascii="ＭＳ ゴシック" w:eastAsia="ＭＳ ゴシック" w:hAnsi="ＭＳ ゴシック"/>
          <w:szCs w:val="24"/>
        </w:rPr>
      </w:pPr>
      <w:r w:rsidRPr="00C974DC">
        <w:rPr>
          <w:rFonts w:ascii="ＭＳ ゴシック" w:eastAsia="ＭＳ ゴシック" w:hAnsi="ＭＳ ゴシック" w:hint="eastAsia"/>
          <w:szCs w:val="24"/>
        </w:rPr>
        <w:lastRenderedPageBreak/>
        <w:t>２　決算収支</w:t>
      </w:r>
    </w:p>
    <w:p w:rsidR="00C974DC" w:rsidRPr="00C974DC" w:rsidRDefault="00C974DC" w:rsidP="00C974DC">
      <w:pPr>
        <w:kinsoku w:val="0"/>
        <w:overflowPunct w:val="0"/>
        <w:snapToGrid w:val="0"/>
        <w:spacing w:line="276" w:lineRule="auto"/>
        <w:ind w:firstLineChars="300" w:firstLine="720"/>
        <w:jc w:val="distribute"/>
        <w:rPr>
          <w:rFonts w:hAnsi="ＭＳ 明朝"/>
          <w:szCs w:val="24"/>
        </w:rPr>
      </w:pPr>
      <w:r w:rsidRPr="00C974DC">
        <w:rPr>
          <w:rFonts w:hAnsi="ＭＳ 明朝" w:hint="eastAsia"/>
          <w:szCs w:val="24"/>
        </w:rPr>
        <w:t xml:space="preserve">一般会計と特別会計を合計した歳入歳出差引額(形式収支)は1,273,445千円で、　　</w:t>
      </w:r>
    </w:p>
    <w:p w:rsidR="00C974DC" w:rsidRPr="00C974DC" w:rsidRDefault="00C974DC" w:rsidP="00C974DC">
      <w:pPr>
        <w:kinsoku w:val="0"/>
        <w:overflowPunct w:val="0"/>
        <w:snapToGrid w:val="0"/>
        <w:spacing w:line="276" w:lineRule="auto"/>
        <w:ind w:firstLineChars="200" w:firstLine="480"/>
        <w:jc w:val="distribute"/>
        <w:rPr>
          <w:rFonts w:hAnsi="ＭＳ 明朝"/>
          <w:szCs w:val="24"/>
        </w:rPr>
      </w:pPr>
      <w:r w:rsidRPr="00C974DC">
        <w:rPr>
          <w:rFonts w:hAnsi="ＭＳ 明朝" w:hint="eastAsia"/>
          <w:szCs w:val="24"/>
        </w:rPr>
        <w:t xml:space="preserve">翌年度へ繰り越すべき財源210,336千円を差し引いた実質収支は1,063,109千円と　　　</w:t>
      </w:r>
    </w:p>
    <w:p w:rsidR="00C974DC" w:rsidRPr="00C974DC" w:rsidRDefault="00C974DC" w:rsidP="00C974DC">
      <w:pPr>
        <w:kinsoku w:val="0"/>
        <w:overflowPunct w:val="0"/>
        <w:snapToGrid w:val="0"/>
        <w:spacing w:line="276" w:lineRule="auto"/>
        <w:ind w:firstLineChars="200" w:firstLine="480"/>
        <w:rPr>
          <w:rFonts w:hAnsi="ＭＳ 明朝"/>
          <w:szCs w:val="24"/>
        </w:rPr>
      </w:pPr>
      <w:r w:rsidRPr="00C974DC">
        <w:rPr>
          <w:rFonts w:hAnsi="ＭＳ 明朝" w:hint="eastAsia"/>
          <w:szCs w:val="24"/>
        </w:rPr>
        <w:t>なっている。</w:t>
      </w:r>
    </w:p>
    <w:p w:rsidR="00C974DC" w:rsidRPr="00C974DC" w:rsidRDefault="00C974DC" w:rsidP="00C974DC">
      <w:pPr>
        <w:kinsoku w:val="0"/>
        <w:overflowPunct w:val="0"/>
        <w:snapToGrid w:val="0"/>
        <w:spacing w:line="276" w:lineRule="auto"/>
        <w:ind w:leftChars="200" w:left="480" w:firstLineChars="100" w:firstLine="240"/>
        <w:rPr>
          <w:rFonts w:hAnsi="ＭＳ 明朝"/>
          <w:szCs w:val="24"/>
        </w:rPr>
      </w:pPr>
      <w:r w:rsidRPr="00C974DC">
        <w:rPr>
          <w:rFonts w:hAnsi="ＭＳ 明朝" w:hint="eastAsia"/>
          <w:szCs w:val="24"/>
        </w:rPr>
        <w:t>この実質収支から前年度実質収支1,454,992千円を差し引いた当年度の単年度収支に財政調整基金積立金199,401千円と繰上償還金9,400千円を加え、財政調整基金取り崩し額966,000千円を差し引いた実質単年度収支は、1,149,082千円の赤字となっている。</w:t>
      </w:r>
    </w:p>
    <w:p w:rsidR="00C974DC" w:rsidRPr="00C974DC" w:rsidRDefault="00C974DC" w:rsidP="00C974DC">
      <w:pPr>
        <w:kinsoku w:val="0"/>
        <w:overflowPunct w:val="0"/>
        <w:snapToGrid w:val="0"/>
        <w:spacing w:line="276" w:lineRule="auto"/>
        <w:ind w:leftChars="200" w:left="480" w:firstLineChars="100" w:firstLine="240"/>
        <w:rPr>
          <w:rFonts w:hAnsi="ＭＳ 明朝"/>
          <w:szCs w:val="24"/>
        </w:rPr>
      </w:pPr>
      <w:r w:rsidRPr="00C974DC">
        <w:rPr>
          <w:rFonts w:hAnsi="ＭＳ 明朝" w:hint="eastAsia"/>
          <w:szCs w:val="24"/>
        </w:rPr>
        <w:t>これらを前年度と比較すると、形式収支は280,880千円、実質収支は391,883千円、単年度収支は817,094千円、実質単年度収支は1,736,399千円と、それぞれ減少している。</w:t>
      </w:r>
    </w:p>
    <w:p w:rsidR="00C974DC" w:rsidRPr="00C974DC" w:rsidRDefault="00C974DC" w:rsidP="00C974DC">
      <w:pPr>
        <w:snapToGrid w:val="0"/>
        <w:spacing w:line="276" w:lineRule="auto"/>
        <w:ind w:leftChars="200" w:left="480" w:firstLineChars="100" w:firstLine="240"/>
        <w:jc w:val="distribute"/>
        <w:rPr>
          <w:rFonts w:hAnsi="ＭＳ 明朝"/>
          <w:szCs w:val="24"/>
        </w:rPr>
      </w:pPr>
      <w:r w:rsidRPr="00C974DC">
        <w:rPr>
          <w:rFonts w:hAnsi="ＭＳ 明朝" w:hint="eastAsia"/>
          <w:szCs w:val="24"/>
        </w:rPr>
        <w:t xml:space="preserve">次に会計別にみると､一般会計の形式収支は619,790千円で、翌年度へ繰り越す　</w:t>
      </w:r>
    </w:p>
    <w:p w:rsidR="00C974DC" w:rsidRPr="00C974DC" w:rsidRDefault="00C974DC" w:rsidP="00C974DC">
      <w:pPr>
        <w:snapToGrid w:val="0"/>
        <w:spacing w:line="276" w:lineRule="auto"/>
        <w:ind w:firstLineChars="200" w:firstLine="480"/>
        <w:rPr>
          <w:rFonts w:hAnsi="ＭＳ 明朝"/>
          <w:szCs w:val="24"/>
        </w:rPr>
      </w:pPr>
      <w:r w:rsidRPr="00C974DC">
        <w:rPr>
          <w:rFonts w:hAnsi="ＭＳ 明朝" w:hint="eastAsia"/>
          <w:szCs w:val="24"/>
        </w:rPr>
        <w:t>べき財源210,336千円を差し引いた実質収支は409,454千円となっている。</w:t>
      </w:r>
    </w:p>
    <w:p w:rsidR="00C974DC" w:rsidRPr="00C974DC" w:rsidRDefault="00C974DC" w:rsidP="00C974DC">
      <w:pPr>
        <w:spacing w:line="276" w:lineRule="auto"/>
        <w:jc w:val="right"/>
        <w:rPr>
          <w:rFonts w:hAnsi="ＭＳ 明朝"/>
          <w:szCs w:val="24"/>
        </w:rPr>
      </w:pPr>
    </w:p>
    <w:p w:rsidR="00C974DC" w:rsidRPr="00C974DC" w:rsidRDefault="00C974DC" w:rsidP="00C974DC">
      <w:pPr>
        <w:spacing w:line="276" w:lineRule="auto"/>
        <w:jc w:val="right"/>
        <w:rPr>
          <w:rFonts w:hAnsi="ＭＳ 明朝"/>
          <w:szCs w:val="24"/>
        </w:rPr>
      </w:pPr>
    </w:p>
    <w:p w:rsidR="00C974DC" w:rsidRPr="00C974DC" w:rsidRDefault="00C974DC" w:rsidP="00C974DC">
      <w:pPr>
        <w:spacing w:line="357" w:lineRule="atLeast"/>
        <w:jc w:val="right"/>
        <w:rPr>
          <w:rFonts w:ascii="ＭＳ ゴシック" w:eastAsia="ＭＳ ゴシック" w:hAnsi="ＭＳ ゴシック"/>
          <w:sz w:val="32"/>
          <w:szCs w:val="32"/>
        </w:rPr>
      </w:pPr>
      <w:r w:rsidRPr="00C974DC">
        <w:rPr>
          <w:rFonts w:ascii="ＭＳ ゴシック" w:eastAsia="ＭＳ ゴシック" w:hAnsi="ＭＳ ゴシック" w:hint="eastAsia"/>
          <w:sz w:val="32"/>
          <w:szCs w:val="32"/>
        </w:rPr>
        <w:t>会　計　別　決　算</w:t>
      </w:r>
    </w:p>
    <w:p w:rsidR="00C974DC" w:rsidRPr="00C974DC" w:rsidRDefault="00C974DC" w:rsidP="00C974DC">
      <w:pPr>
        <w:spacing w:line="357" w:lineRule="atLeast"/>
        <w:jc w:val="right"/>
        <w:rPr>
          <w:rFonts w:ascii="ＭＳ ゴシック" w:eastAsia="ＭＳ ゴシック" w:hAnsi="ＭＳ ゴシック"/>
          <w:szCs w:val="24"/>
        </w:rPr>
      </w:pPr>
    </w:p>
    <w:bookmarkStart w:id="3" w:name="_MON_1438434938"/>
    <w:bookmarkEnd w:id="3"/>
    <w:p w:rsidR="00C974DC" w:rsidRPr="00C974DC" w:rsidRDefault="00C974DC" w:rsidP="00C974DC">
      <w:pPr>
        <w:spacing w:line="357" w:lineRule="atLeast"/>
      </w:pPr>
      <w:r w:rsidRPr="00C974DC">
        <w:object w:dxaOrig="10532" w:dyaOrig="7833">
          <v:shape id="_x0000_i1028" type="#_x0000_t75" style="width:470pt;height:377.85pt" o:ole="">
            <v:imagedata r:id="rId14" o:title=""/>
          </v:shape>
          <o:OLEObject Type="Embed" ProgID="Excel.Sheet.12" ShapeID="_x0000_i1028" DrawAspect="Content" ObjectID="_1568631028" r:id="rId15"/>
        </w:object>
      </w:r>
    </w:p>
    <w:p w:rsidR="00C974DC" w:rsidRPr="00C974DC" w:rsidRDefault="00C974DC" w:rsidP="00C974DC">
      <w:pPr>
        <w:tabs>
          <w:tab w:val="left" w:pos="438"/>
        </w:tabs>
        <w:snapToGrid w:val="0"/>
        <w:spacing w:line="240" w:lineRule="auto"/>
        <w:ind w:leftChars="200" w:left="480" w:rightChars="-1" w:right="-2" w:firstLineChars="100" w:firstLine="240"/>
        <w:rPr>
          <w:rFonts w:hAnsi="ＭＳ 明朝"/>
          <w:szCs w:val="24"/>
        </w:rPr>
      </w:pPr>
    </w:p>
    <w:p w:rsidR="00C974DC" w:rsidRPr="00C974DC" w:rsidRDefault="00C974DC" w:rsidP="00C974DC">
      <w:pPr>
        <w:tabs>
          <w:tab w:val="left" w:pos="438"/>
        </w:tabs>
        <w:snapToGrid w:val="0"/>
        <w:spacing w:line="276" w:lineRule="auto"/>
        <w:ind w:leftChars="200" w:left="480" w:rightChars="-1" w:right="-2" w:firstLineChars="100" w:firstLine="240"/>
        <w:jc w:val="distribute"/>
        <w:rPr>
          <w:rFonts w:hAnsi="ＭＳ 明朝"/>
          <w:szCs w:val="24"/>
        </w:rPr>
      </w:pPr>
    </w:p>
    <w:p w:rsidR="00C974DC" w:rsidRPr="00C974DC" w:rsidRDefault="00C974DC" w:rsidP="00C974DC">
      <w:pPr>
        <w:tabs>
          <w:tab w:val="left" w:pos="438"/>
        </w:tabs>
        <w:snapToGrid w:val="0"/>
        <w:spacing w:line="276" w:lineRule="auto"/>
        <w:ind w:leftChars="200" w:left="480" w:rightChars="-1" w:right="-2" w:firstLineChars="100" w:firstLine="240"/>
        <w:rPr>
          <w:rFonts w:hAnsi="ＭＳ 明朝"/>
          <w:spacing w:val="20"/>
          <w:szCs w:val="24"/>
        </w:rPr>
      </w:pPr>
      <w:r w:rsidRPr="00C974DC">
        <w:rPr>
          <w:rFonts w:hAnsi="ＭＳ 明朝" w:hint="eastAsia"/>
          <w:szCs w:val="24"/>
        </w:rPr>
        <w:t>このうち、210,000千円を財政調整基金へ積み立て、残る199,454千円は翌年度へ繰り越されている。</w:t>
      </w:r>
    </w:p>
    <w:p w:rsidR="00C974DC" w:rsidRPr="00C974DC" w:rsidRDefault="00C974DC" w:rsidP="00C974DC">
      <w:pPr>
        <w:tabs>
          <w:tab w:val="left" w:pos="438"/>
        </w:tabs>
        <w:snapToGrid w:val="0"/>
        <w:spacing w:line="276" w:lineRule="auto"/>
        <w:ind w:leftChars="200" w:left="480" w:rightChars="-1" w:right="-2" w:firstLineChars="100" w:firstLine="240"/>
        <w:rPr>
          <w:rFonts w:hAnsi="ＭＳ 明朝"/>
          <w:spacing w:val="20"/>
          <w:szCs w:val="24"/>
        </w:rPr>
      </w:pPr>
      <w:r w:rsidRPr="00C974DC">
        <w:rPr>
          <w:rFonts w:hAnsi="ＭＳ 明朝" w:hint="eastAsia"/>
          <w:szCs w:val="24"/>
        </w:rPr>
        <w:t>特別会計６会計の形式収支は653,655千円で、翌年度へ繰り越すべき財源がないため、</w:t>
      </w:r>
      <w:r w:rsidRPr="00C974DC">
        <w:rPr>
          <w:rFonts w:hAnsi="ＭＳ 明朝" w:hint="eastAsia"/>
          <w:spacing w:val="20"/>
          <w:szCs w:val="24"/>
        </w:rPr>
        <w:t>実質収支は同額となっている。</w:t>
      </w:r>
    </w:p>
    <w:p w:rsidR="00C974DC" w:rsidRPr="00C974DC" w:rsidRDefault="00C974DC" w:rsidP="00C974DC">
      <w:pPr>
        <w:tabs>
          <w:tab w:val="left" w:pos="438"/>
        </w:tabs>
        <w:snapToGrid w:val="0"/>
        <w:spacing w:line="276" w:lineRule="auto"/>
        <w:ind w:leftChars="200" w:left="480" w:rightChars="-1" w:right="-2" w:firstLineChars="100" w:firstLine="280"/>
        <w:rPr>
          <w:rFonts w:hAnsi="ＭＳ 明朝"/>
          <w:szCs w:val="24"/>
        </w:rPr>
      </w:pPr>
      <w:r w:rsidRPr="00C974DC">
        <w:rPr>
          <w:rFonts w:hAnsi="ＭＳ 明朝" w:hint="eastAsia"/>
          <w:spacing w:val="20"/>
          <w:szCs w:val="24"/>
        </w:rPr>
        <w:t>各特別会計の実質収支の内訳は、国民健康保険事業会計で493,505千円、</w:t>
      </w:r>
      <w:r w:rsidRPr="00C974DC">
        <w:rPr>
          <w:rFonts w:hAnsi="ＭＳ 明朝" w:hint="eastAsia"/>
          <w:snapToGrid w:val="0"/>
          <w:szCs w:val="24"/>
        </w:rPr>
        <w:t>荻布奨学金事業会計で96千円、</w:t>
      </w:r>
      <w:r w:rsidRPr="00C974DC">
        <w:rPr>
          <w:rFonts w:hAnsi="ＭＳ 明朝" w:hint="eastAsia"/>
          <w:spacing w:val="20"/>
          <w:szCs w:val="24"/>
        </w:rPr>
        <w:t>介護保険事業会計で157,444千円、後期高齢者医療事業</w:t>
      </w:r>
      <w:r w:rsidRPr="00C974DC">
        <w:rPr>
          <w:rFonts w:hAnsi="ＭＳ 明朝" w:hint="eastAsia"/>
          <w:szCs w:val="24"/>
        </w:rPr>
        <w:t>会計で2,610千円となり、それぞれ全額翌年度へ繰り越されている。</w:t>
      </w:r>
    </w:p>
    <w:p w:rsidR="00C974DC" w:rsidRPr="00C974DC" w:rsidRDefault="00C974DC" w:rsidP="00C974DC">
      <w:pPr>
        <w:tabs>
          <w:tab w:val="left" w:pos="438"/>
        </w:tabs>
        <w:snapToGrid w:val="0"/>
        <w:spacing w:line="276" w:lineRule="auto"/>
        <w:ind w:leftChars="200" w:left="480" w:rightChars="-1" w:right="-2" w:firstLineChars="100" w:firstLine="240"/>
        <w:rPr>
          <w:rFonts w:hAnsi="ＭＳ 明朝"/>
          <w:snapToGrid w:val="0"/>
          <w:szCs w:val="24"/>
        </w:rPr>
      </w:pPr>
      <w:r w:rsidRPr="00C974DC">
        <w:rPr>
          <w:rFonts w:hAnsi="ＭＳ 明朝" w:hint="eastAsia"/>
          <w:szCs w:val="24"/>
        </w:rPr>
        <w:t>また</w:t>
      </w:r>
      <w:r w:rsidRPr="00C974DC">
        <w:rPr>
          <w:rFonts w:hAnsi="ＭＳ 明朝" w:hint="eastAsia"/>
          <w:snapToGrid w:val="0"/>
          <w:szCs w:val="24"/>
        </w:rPr>
        <w:t>、駐車場事業会計及び工業団地造成事業会計の２会計は収支同額となっている。</w:t>
      </w:r>
    </w:p>
    <w:p w:rsidR="00C974DC" w:rsidRPr="00C974DC" w:rsidRDefault="00C974DC" w:rsidP="00C974DC">
      <w:pPr>
        <w:kinsoku w:val="0"/>
        <w:overflowPunct w:val="0"/>
        <w:snapToGrid w:val="0"/>
        <w:spacing w:line="276" w:lineRule="auto"/>
        <w:ind w:leftChars="300" w:left="720"/>
        <w:rPr>
          <w:rFonts w:asciiTheme="minorEastAsia" w:eastAsiaTheme="minorEastAsia" w:hAnsiTheme="minorEastAsia"/>
          <w:sz w:val="20"/>
        </w:rPr>
      </w:pPr>
    </w:p>
    <w:p w:rsidR="00C974DC" w:rsidRPr="00C974DC" w:rsidRDefault="00C974DC" w:rsidP="00C974DC">
      <w:pPr>
        <w:spacing w:line="276" w:lineRule="auto"/>
        <w:rPr>
          <w:rFonts w:asciiTheme="minorEastAsia" w:eastAsiaTheme="minorEastAsia" w:hAnsiTheme="minorEastAsia"/>
          <w:sz w:val="18"/>
          <w:szCs w:val="18"/>
        </w:rPr>
      </w:pPr>
    </w:p>
    <w:p w:rsidR="00C974DC" w:rsidRPr="00C974DC" w:rsidRDefault="00C974DC" w:rsidP="00C974DC">
      <w:pPr>
        <w:spacing w:line="276" w:lineRule="auto"/>
        <w:rPr>
          <w:rFonts w:asciiTheme="minorEastAsia" w:eastAsiaTheme="minorEastAsia" w:hAnsiTheme="minorEastAsia"/>
          <w:sz w:val="18"/>
          <w:szCs w:val="18"/>
        </w:rPr>
      </w:pPr>
    </w:p>
    <w:p w:rsidR="00C974DC" w:rsidRPr="00C974DC" w:rsidRDefault="00C974DC" w:rsidP="00C974DC">
      <w:pPr>
        <w:spacing w:line="240" w:lineRule="auto"/>
        <w:rPr>
          <w:rFonts w:ascii="ＭＳ ゴシック" w:eastAsia="ＭＳ ゴシック" w:hAnsi="ＭＳ ゴシック"/>
          <w:szCs w:val="24"/>
          <w:shd w:val="pct15" w:color="auto" w:fill="FFFFFF"/>
        </w:rPr>
      </w:pPr>
    </w:p>
    <w:p w:rsidR="00C974DC" w:rsidRPr="00C974DC" w:rsidRDefault="00C974DC" w:rsidP="00C974DC">
      <w:pPr>
        <w:spacing w:line="240" w:lineRule="auto"/>
        <w:rPr>
          <w:rFonts w:ascii="ＭＳ ゴシック" w:eastAsia="ＭＳ ゴシック" w:hAnsi="ＭＳ ゴシック"/>
          <w:szCs w:val="24"/>
          <w:shd w:val="pct15" w:color="auto" w:fill="FFFFFF"/>
        </w:rPr>
      </w:pPr>
    </w:p>
    <w:p w:rsidR="00C974DC" w:rsidRPr="00C974DC" w:rsidRDefault="00C974DC" w:rsidP="00C974DC">
      <w:pPr>
        <w:spacing w:line="240" w:lineRule="auto"/>
        <w:rPr>
          <w:rFonts w:ascii="ＭＳ ゴシック" w:eastAsia="ＭＳ ゴシック" w:hAnsi="ＭＳ ゴシック"/>
          <w:szCs w:val="24"/>
          <w:shd w:val="pct15" w:color="auto" w:fill="FFFFFF"/>
        </w:rPr>
      </w:pPr>
    </w:p>
    <w:p w:rsidR="00C974DC" w:rsidRPr="00C974DC" w:rsidRDefault="00C974DC" w:rsidP="00C974DC">
      <w:pPr>
        <w:spacing w:line="240" w:lineRule="auto"/>
        <w:rPr>
          <w:rFonts w:ascii="ＭＳ ゴシック" w:eastAsia="ＭＳ ゴシック" w:hAnsi="ＭＳ ゴシック"/>
          <w:sz w:val="32"/>
          <w:szCs w:val="32"/>
        </w:rPr>
      </w:pPr>
      <w:r w:rsidRPr="00C974DC">
        <w:rPr>
          <w:rFonts w:ascii="ＭＳ ゴシック" w:eastAsia="ＭＳ ゴシック" w:hAnsi="ＭＳ ゴシック" w:hint="eastAsia"/>
          <w:sz w:val="32"/>
          <w:szCs w:val="32"/>
        </w:rPr>
        <w:t>収　支　状　況</w:t>
      </w:r>
    </w:p>
    <w:p w:rsidR="00C974DC" w:rsidRPr="00C974DC" w:rsidRDefault="00C974DC" w:rsidP="00C974DC">
      <w:pPr>
        <w:spacing w:line="240" w:lineRule="auto"/>
        <w:ind w:firstLineChars="3300" w:firstLine="7920"/>
        <w:rPr>
          <w:szCs w:val="24"/>
        </w:rPr>
      </w:pPr>
      <w:r w:rsidRPr="00C974DC">
        <w:rPr>
          <w:rFonts w:hint="eastAsia"/>
          <w:szCs w:val="24"/>
        </w:rPr>
        <w:t>（単位：千円）</w:t>
      </w:r>
    </w:p>
    <w:bookmarkStart w:id="4" w:name="_MON_1438494339"/>
    <w:bookmarkEnd w:id="4"/>
    <w:p w:rsidR="00C974DC" w:rsidRPr="00C974DC" w:rsidRDefault="00C974DC" w:rsidP="00C974DC">
      <w:pPr>
        <w:spacing w:line="240" w:lineRule="auto"/>
      </w:pPr>
      <w:r w:rsidRPr="00C974DC">
        <w:object w:dxaOrig="9955" w:dyaOrig="7833">
          <v:shape id="_x0000_i1029" type="#_x0000_t75" style="width:475.2pt;height:377.85pt" o:ole="">
            <v:imagedata r:id="rId16" o:title=""/>
          </v:shape>
          <o:OLEObject Type="Embed" ProgID="Excel.Sheet.12" ShapeID="_x0000_i1029" DrawAspect="Content" ObjectID="_1568631029" r:id="rId17"/>
        </w:object>
      </w:r>
    </w:p>
    <w:p w:rsidR="00C974DC" w:rsidRDefault="00C974DC" w:rsidP="00C6011D">
      <w:pPr>
        <w:spacing w:line="240" w:lineRule="auto"/>
        <w:rPr>
          <w:rFonts w:hAnsi="ＭＳ 明朝"/>
          <w:szCs w:val="24"/>
        </w:rPr>
        <w:sectPr w:rsidR="00C974DC" w:rsidSect="00BB3C9C">
          <w:pgSz w:w="11906" w:h="16838" w:code="9"/>
          <w:pgMar w:top="1134" w:right="1134" w:bottom="1134" w:left="1134" w:header="851" w:footer="397" w:gutter="0"/>
          <w:pgNumType w:fmt="numberInDash"/>
          <w:cols w:space="425"/>
          <w:docGrid w:type="linesAndChars" w:linePitch="360"/>
        </w:sectPr>
      </w:pPr>
    </w:p>
    <w:p w:rsidR="00C974DC" w:rsidRPr="00C974DC" w:rsidRDefault="00C974DC" w:rsidP="00C974DC">
      <w:pPr>
        <w:kinsoku w:val="0"/>
        <w:overflowPunct w:val="0"/>
        <w:snapToGrid w:val="0"/>
        <w:spacing w:line="240" w:lineRule="auto"/>
        <w:ind w:firstLineChars="100" w:firstLine="237"/>
        <w:rPr>
          <w:rFonts w:ascii="ＭＳ ゴシック" w:eastAsia="ＭＳ ゴシック" w:hAnsi="ＭＳ ゴシック"/>
          <w:szCs w:val="24"/>
        </w:rPr>
      </w:pPr>
      <w:r w:rsidRPr="00C974DC">
        <w:rPr>
          <w:rFonts w:ascii="ＭＳ ゴシック" w:eastAsia="ＭＳ ゴシック" w:hAnsi="ＭＳ ゴシック" w:hint="eastAsia"/>
          <w:szCs w:val="24"/>
        </w:rPr>
        <w:lastRenderedPageBreak/>
        <w:t>３　財政状況</w:t>
      </w:r>
    </w:p>
    <w:p w:rsidR="00C974DC" w:rsidRPr="00C974DC" w:rsidRDefault="00C974DC" w:rsidP="00C974DC">
      <w:pPr>
        <w:kinsoku w:val="0"/>
        <w:overflowPunct w:val="0"/>
        <w:snapToGrid w:val="0"/>
        <w:spacing w:line="240" w:lineRule="auto"/>
        <w:ind w:leftChars="200" w:left="474" w:firstLineChars="100" w:firstLine="237"/>
        <w:rPr>
          <w:rFonts w:hAnsi="ＭＳ 明朝"/>
          <w:szCs w:val="24"/>
        </w:rPr>
      </w:pPr>
      <w:r w:rsidRPr="00C974DC">
        <w:rPr>
          <w:rFonts w:hAnsi="ＭＳ 明朝" w:hint="eastAsia"/>
          <w:szCs w:val="24"/>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rsidR="00C974DC" w:rsidRPr="00C974DC" w:rsidRDefault="00C974DC" w:rsidP="00C974DC">
      <w:pPr>
        <w:kinsoku w:val="0"/>
        <w:overflowPunct w:val="0"/>
        <w:snapToGrid w:val="0"/>
        <w:spacing w:line="240" w:lineRule="auto"/>
        <w:ind w:leftChars="200" w:left="474" w:firstLineChars="100" w:firstLine="237"/>
        <w:rPr>
          <w:rFonts w:hAnsi="ＭＳ 明朝"/>
          <w:szCs w:val="24"/>
        </w:rPr>
      </w:pPr>
      <w:r w:rsidRPr="00C974DC">
        <w:rPr>
          <w:rFonts w:hAnsi="ＭＳ 明朝" w:hint="eastAsia"/>
          <w:szCs w:val="24"/>
        </w:rPr>
        <w:t>なお、27年度類似団体の数値は市町村類型Ⅳ－２(人口15万人以上、第二次・第三次産業の比率が95％以上、かつ第三次産業が65％未満)の地方公共団体の平均値である。</w:t>
      </w:r>
    </w:p>
    <w:p w:rsidR="00C974DC" w:rsidRPr="00C974DC" w:rsidRDefault="00C974DC" w:rsidP="00C974DC">
      <w:pPr>
        <w:kinsoku w:val="0"/>
        <w:overflowPunct w:val="0"/>
        <w:snapToGrid w:val="0"/>
        <w:spacing w:line="240" w:lineRule="auto"/>
        <w:ind w:leftChars="300" w:left="711" w:firstLineChars="100" w:firstLine="197"/>
        <w:rPr>
          <w:rFonts w:hAnsi="ＭＳ 明朝"/>
          <w:sz w:val="20"/>
        </w:rPr>
      </w:pPr>
    </w:p>
    <w:p w:rsidR="00C974DC" w:rsidRPr="00C974DC" w:rsidRDefault="00C974DC" w:rsidP="00C974DC">
      <w:pPr>
        <w:kinsoku w:val="0"/>
        <w:overflowPunct w:val="0"/>
        <w:snapToGrid w:val="0"/>
        <w:spacing w:line="240" w:lineRule="auto"/>
        <w:ind w:left="474" w:hangingChars="200" w:hanging="474"/>
        <w:rPr>
          <w:rFonts w:hAnsi="ＭＳ 明朝"/>
          <w:szCs w:val="24"/>
        </w:rPr>
      </w:pPr>
    </w:p>
    <w:p w:rsidR="00C974DC" w:rsidRPr="00C974DC" w:rsidRDefault="00C974DC" w:rsidP="00C974DC">
      <w:pPr>
        <w:numPr>
          <w:ilvl w:val="0"/>
          <w:numId w:val="1"/>
        </w:numPr>
        <w:kinsoku w:val="0"/>
        <w:overflowPunct w:val="0"/>
        <w:snapToGrid w:val="0"/>
        <w:spacing w:line="240" w:lineRule="auto"/>
        <w:rPr>
          <w:rFonts w:ascii="ＭＳ ゴシック" w:eastAsia="ＭＳ ゴシック" w:hAnsi="ＭＳ ゴシック"/>
          <w:szCs w:val="24"/>
        </w:rPr>
      </w:pPr>
      <w:r w:rsidRPr="00C974DC">
        <w:rPr>
          <w:rFonts w:ascii="ＭＳ ゴシック" w:eastAsia="ＭＳ ゴシック" w:hAnsi="ＭＳ ゴシック" w:hint="eastAsia"/>
          <w:szCs w:val="24"/>
        </w:rPr>
        <w:t xml:space="preserve"> 財政力指数</w:t>
      </w:r>
    </w:p>
    <w:p w:rsidR="00C974DC" w:rsidRPr="00C974DC" w:rsidRDefault="00C974DC" w:rsidP="00C974DC">
      <w:pPr>
        <w:tabs>
          <w:tab w:val="left" w:pos="9737"/>
          <w:tab w:val="left" w:pos="9844"/>
        </w:tabs>
        <w:kinsoku w:val="0"/>
        <w:overflowPunct w:val="0"/>
        <w:snapToGrid w:val="0"/>
        <w:spacing w:line="240" w:lineRule="auto"/>
        <w:ind w:leftChars="300" w:left="711" w:firstLineChars="100" w:firstLine="237"/>
        <w:jc w:val="distribute"/>
        <w:rPr>
          <w:rFonts w:hAnsi="ＭＳ 明朝"/>
          <w:szCs w:val="24"/>
        </w:rPr>
      </w:pPr>
      <w:r w:rsidRPr="00C974DC">
        <w:rPr>
          <w:rFonts w:hAnsi="ＭＳ 明朝" w:hint="eastAsia"/>
          <w:szCs w:val="24"/>
        </w:rPr>
        <w:t>財政力指数は、財政力の強弱を示す指数とされており、この指数が「１」に近い</w:t>
      </w:r>
    </w:p>
    <w:p w:rsidR="00C974DC" w:rsidRPr="00C974DC" w:rsidRDefault="00C974DC" w:rsidP="00C974DC">
      <w:pPr>
        <w:tabs>
          <w:tab w:val="left" w:pos="9737"/>
          <w:tab w:val="left" w:pos="9844"/>
        </w:tabs>
        <w:kinsoku w:val="0"/>
        <w:overflowPunct w:val="0"/>
        <w:snapToGrid w:val="0"/>
        <w:spacing w:line="240" w:lineRule="auto"/>
        <w:ind w:firstLineChars="300" w:firstLine="711"/>
        <w:rPr>
          <w:rFonts w:hAnsi="ＭＳ 明朝"/>
          <w:szCs w:val="24"/>
        </w:rPr>
      </w:pPr>
      <w:r w:rsidRPr="00C974DC">
        <w:rPr>
          <w:rFonts w:hAnsi="ＭＳ 明朝" w:hint="eastAsia"/>
          <w:szCs w:val="24"/>
        </w:rPr>
        <w:t>（あるいは「１」を超える）ほど財政に余裕があることを示すものである。</w:t>
      </w:r>
    </w:p>
    <w:p w:rsidR="00C974DC" w:rsidRPr="00C974DC" w:rsidRDefault="00C974DC" w:rsidP="00C974DC">
      <w:pPr>
        <w:tabs>
          <w:tab w:val="left" w:pos="9737"/>
          <w:tab w:val="left" w:pos="9844"/>
        </w:tabs>
        <w:kinsoku w:val="0"/>
        <w:overflowPunct w:val="0"/>
        <w:snapToGrid w:val="0"/>
        <w:spacing w:line="240" w:lineRule="auto"/>
        <w:ind w:leftChars="300" w:left="711" w:firstLineChars="100" w:firstLine="237"/>
        <w:rPr>
          <w:rFonts w:hAnsi="ＭＳ 明朝"/>
          <w:szCs w:val="24"/>
        </w:rPr>
      </w:pPr>
      <w:r w:rsidRPr="00C974DC">
        <w:rPr>
          <w:rFonts w:hAnsi="ＭＳ 明朝" w:hint="eastAsia"/>
          <w:szCs w:val="24"/>
        </w:rPr>
        <w:t>当年度は0.75で、前年度と同率となっている。</w:t>
      </w: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ind w:firstLineChars="3400" w:firstLine="8056"/>
        <w:rPr>
          <w:rFonts w:hAnsi="ＭＳ 明朝"/>
          <w:szCs w:val="24"/>
        </w:rPr>
      </w:pPr>
      <w:r w:rsidRPr="00C974DC">
        <w:rPr>
          <w:rFonts w:hAnsi="ＭＳ 明朝" w:hint="eastAsia"/>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701"/>
        <w:gridCol w:w="1701"/>
        <w:gridCol w:w="1664"/>
        <w:gridCol w:w="1968"/>
      </w:tblGrid>
      <w:tr w:rsidR="00C974DC" w:rsidRPr="00C974DC" w:rsidTr="00BB3C9C">
        <w:trPr>
          <w:trHeight w:val="573"/>
        </w:trPr>
        <w:tc>
          <w:tcPr>
            <w:tcW w:w="2127"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区　　　分</w:t>
            </w:r>
          </w:p>
        </w:tc>
        <w:tc>
          <w:tcPr>
            <w:tcW w:w="1701"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28年度</w:t>
            </w:r>
          </w:p>
        </w:tc>
        <w:tc>
          <w:tcPr>
            <w:tcW w:w="1701"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27年度</w:t>
            </w:r>
          </w:p>
        </w:tc>
        <w:tc>
          <w:tcPr>
            <w:tcW w:w="1664"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26年度</w:t>
            </w:r>
          </w:p>
        </w:tc>
        <w:tc>
          <w:tcPr>
            <w:tcW w:w="1968"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27年度類似団体</w:t>
            </w:r>
          </w:p>
        </w:tc>
      </w:tr>
      <w:tr w:rsidR="00C974DC" w:rsidRPr="00C974DC" w:rsidTr="00BB3C9C">
        <w:trPr>
          <w:trHeight w:val="553"/>
        </w:trPr>
        <w:tc>
          <w:tcPr>
            <w:tcW w:w="2127" w:type="dxa"/>
            <w:vAlign w:val="center"/>
          </w:tcPr>
          <w:p w:rsidR="00C974DC" w:rsidRPr="00C974DC" w:rsidRDefault="00C974DC" w:rsidP="00C974DC">
            <w:pPr>
              <w:spacing w:line="240" w:lineRule="auto"/>
              <w:rPr>
                <w:rFonts w:hAnsi="ＭＳ 明朝"/>
                <w:szCs w:val="24"/>
              </w:rPr>
            </w:pPr>
            <w:r w:rsidRPr="00C974DC">
              <w:rPr>
                <w:rFonts w:hAnsi="ＭＳ 明朝" w:hint="eastAsia"/>
                <w:szCs w:val="24"/>
              </w:rPr>
              <w:t>基準財政収入額</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21,997,289</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21,395,054</w:t>
            </w:r>
          </w:p>
        </w:tc>
        <w:tc>
          <w:tcPr>
            <w:tcW w:w="1664"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20,656,196</w:t>
            </w:r>
          </w:p>
        </w:tc>
        <w:tc>
          <w:tcPr>
            <w:tcW w:w="1968"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22,424,747</w:t>
            </w:r>
          </w:p>
        </w:tc>
      </w:tr>
      <w:tr w:rsidR="00C974DC" w:rsidRPr="00C974DC" w:rsidTr="00BB3C9C">
        <w:trPr>
          <w:trHeight w:val="561"/>
        </w:trPr>
        <w:tc>
          <w:tcPr>
            <w:tcW w:w="2127" w:type="dxa"/>
            <w:vAlign w:val="center"/>
          </w:tcPr>
          <w:p w:rsidR="00C974DC" w:rsidRPr="00C974DC" w:rsidRDefault="00C974DC" w:rsidP="00C974DC">
            <w:pPr>
              <w:spacing w:line="240" w:lineRule="auto"/>
              <w:rPr>
                <w:rFonts w:hAnsi="ＭＳ 明朝"/>
                <w:szCs w:val="24"/>
              </w:rPr>
            </w:pPr>
            <w:r w:rsidRPr="00C974DC">
              <w:rPr>
                <w:rFonts w:hAnsi="ＭＳ 明朝" w:hint="eastAsia"/>
                <w:szCs w:val="24"/>
              </w:rPr>
              <w:t>基準財政需要額</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29,171,281</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28,845,698</w:t>
            </w:r>
          </w:p>
        </w:tc>
        <w:tc>
          <w:tcPr>
            <w:tcW w:w="1664"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27,712,195</w:t>
            </w:r>
          </w:p>
        </w:tc>
        <w:tc>
          <w:tcPr>
            <w:tcW w:w="1968"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27,225,153</w:t>
            </w:r>
          </w:p>
        </w:tc>
      </w:tr>
      <w:tr w:rsidR="00C974DC" w:rsidRPr="00C974DC" w:rsidTr="00BB3C9C">
        <w:trPr>
          <w:trHeight w:val="555"/>
        </w:trPr>
        <w:tc>
          <w:tcPr>
            <w:tcW w:w="2127" w:type="dxa"/>
            <w:vAlign w:val="center"/>
          </w:tcPr>
          <w:p w:rsidR="00C974DC" w:rsidRPr="00C974DC" w:rsidRDefault="00C974DC" w:rsidP="00C974DC">
            <w:pPr>
              <w:spacing w:line="240" w:lineRule="auto"/>
              <w:rPr>
                <w:rFonts w:hAnsi="ＭＳ 明朝"/>
                <w:szCs w:val="24"/>
              </w:rPr>
            </w:pPr>
            <w:r w:rsidRPr="00C974DC">
              <w:rPr>
                <w:rFonts w:hAnsi="ＭＳ 明朝" w:hint="eastAsia"/>
                <w:szCs w:val="24"/>
              </w:rPr>
              <w:t>財政力指数</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0.75</w:t>
            </w:r>
          </w:p>
        </w:tc>
        <w:tc>
          <w:tcPr>
            <w:tcW w:w="1701"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0.75</w:t>
            </w:r>
          </w:p>
        </w:tc>
        <w:tc>
          <w:tcPr>
            <w:tcW w:w="1664"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0.74</w:t>
            </w:r>
          </w:p>
        </w:tc>
        <w:tc>
          <w:tcPr>
            <w:tcW w:w="1968" w:type="dxa"/>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984"/>
        <w:gridCol w:w="2126"/>
      </w:tblGrid>
      <w:tr w:rsidR="00C974DC" w:rsidRPr="00C974DC" w:rsidTr="00BB3C9C">
        <w:tc>
          <w:tcPr>
            <w:tcW w:w="1668" w:type="dxa"/>
            <w:vMerge w:val="restart"/>
            <w:tcBorders>
              <w:top w:val="nil"/>
              <w:left w:val="nil"/>
              <w:right w:val="nil"/>
            </w:tcBorders>
            <w:vAlign w:val="center"/>
          </w:tcPr>
          <w:p w:rsidR="00C974DC" w:rsidRPr="00C974DC" w:rsidRDefault="00C974DC" w:rsidP="00C974DC">
            <w:pPr>
              <w:spacing w:line="240" w:lineRule="auto"/>
              <w:jc w:val="right"/>
              <w:rPr>
                <w:rFonts w:ascii="明朝体" w:eastAsia="明朝体"/>
                <w:sz w:val="22"/>
                <w:szCs w:val="22"/>
              </w:rPr>
            </w:pPr>
            <w:r w:rsidRPr="00C974DC">
              <w:rPr>
                <w:rFonts w:ascii="明朝体" w:eastAsia="明朝体" w:hint="eastAsia"/>
                <w:sz w:val="22"/>
                <w:szCs w:val="22"/>
              </w:rPr>
              <w:t>財政力指数＝</w:t>
            </w:r>
          </w:p>
        </w:tc>
        <w:tc>
          <w:tcPr>
            <w:tcW w:w="1984" w:type="dxa"/>
            <w:tcBorders>
              <w:top w:val="nil"/>
              <w:left w:val="nil"/>
              <w:right w:val="nil"/>
            </w:tcBorders>
            <w:vAlign w:val="bottom"/>
          </w:tcPr>
          <w:p w:rsidR="00C974DC" w:rsidRPr="00C974DC" w:rsidRDefault="00C974DC" w:rsidP="00C974DC">
            <w:pPr>
              <w:spacing w:line="240" w:lineRule="auto"/>
              <w:jc w:val="center"/>
              <w:rPr>
                <w:rFonts w:ascii="明朝体" w:eastAsia="明朝体"/>
                <w:sz w:val="22"/>
                <w:szCs w:val="22"/>
              </w:rPr>
            </w:pPr>
            <w:r w:rsidRPr="00C974DC">
              <w:rPr>
                <w:rFonts w:ascii="明朝体" w:eastAsia="明朝体" w:hint="eastAsia"/>
                <w:sz w:val="22"/>
                <w:szCs w:val="22"/>
              </w:rPr>
              <w:t>基準財政収入額</w:t>
            </w:r>
          </w:p>
        </w:tc>
        <w:tc>
          <w:tcPr>
            <w:tcW w:w="2126" w:type="dxa"/>
            <w:vMerge w:val="restart"/>
            <w:tcBorders>
              <w:top w:val="nil"/>
              <w:left w:val="nil"/>
              <w:right w:val="nil"/>
            </w:tcBorders>
            <w:vAlign w:val="center"/>
          </w:tcPr>
          <w:p w:rsidR="00C974DC" w:rsidRPr="00C974DC" w:rsidRDefault="00C974DC" w:rsidP="00C974DC">
            <w:pPr>
              <w:spacing w:line="240" w:lineRule="auto"/>
              <w:rPr>
                <w:rFonts w:ascii="明朝体" w:eastAsia="明朝体"/>
                <w:sz w:val="22"/>
                <w:szCs w:val="22"/>
              </w:rPr>
            </w:pPr>
            <w:r w:rsidRPr="00C974DC">
              <w:rPr>
                <w:rFonts w:ascii="明朝体" w:eastAsia="明朝体" w:hint="eastAsia"/>
                <w:sz w:val="22"/>
                <w:szCs w:val="22"/>
              </w:rPr>
              <w:t>の３か年の平均値</w:t>
            </w:r>
          </w:p>
        </w:tc>
      </w:tr>
      <w:tr w:rsidR="00C974DC" w:rsidRPr="00C974DC" w:rsidTr="00BB3C9C">
        <w:tc>
          <w:tcPr>
            <w:tcW w:w="1668" w:type="dxa"/>
            <w:vMerge/>
            <w:tcBorders>
              <w:top w:val="nil"/>
              <w:left w:val="nil"/>
              <w:bottom w:val="nil"/>
              <w:right w:val="nil"/>
            </w:tcBorders>
          </w:tcPr>
          <w:p w:rsidR="00C974DC" w:rsidRPr="00C974DC" w:rsidRDefault="00C974DC" w:rsidP="00C974DC">
            <w:pPr>
              <w:spacing w:line="240" w:lineRule="auto"/>
              <w:rPr>
                <w:rFonts w:ascii="明朝体" w:eastAsia="明朝体"/>
                <w:sz w:val="22"/>
                <w:szCs w:val="22"/>
              </w:rPr>
            </w:pPr>
          </w:p>
        </w:tc>
        <w:tc>
          <w:tcPr>
            <w:tcW w:w="1984" w:type="dxa"/>
            <w:tcBorders>
              <w:left w:val="nil"/>
              <w:bottom w:val="nil"/>
              <w:right w:val="nil"/>
            </w:tcBorders>
          </w:tcPr>
          <w:p w:rsidR="00C974DC" w:rsidRPr="00C974DC" w:rsidRDefault="00C974DC" w:rsidP="00C974DC">
            <w:pPr>
              <w:spacing w:line="240" w:lineRule="auto"/>
              <w:jc w:val="center"/>
              <w:rPr>
                <w:rFonts w:ascii="明朝体" w:eastAsia="明朝体"/>
                <w:sz w:val="22"/>
                <w:szCs w:val="22"/>
              </w:rPr>
            </w:pPr>
            <w:r w:rsidRPr="00C974DC">
              <w:rPr>
                <w:rFonts w:ascii="明朝体" w:eastAsia="明朝体" w:hint="eastAsia"/>
                <w:sz w:val="22"/>
                <w:szCs w:val="22"/>
              </w:rPr>
              <w:t>基準財政需要額</w:t>
            </w:r>
          </w:p>
        </w:tc>
        <w:tc>
          <w:tcPr>
            <w:tcW w:w="2126" w:type="dxa"/>
            <w:vMerge/>
            <w:tcBorders>
              <w:left w:val="nil"/>
              <w:bottom w:val="nil"/>
              <w:right w:val="nil"/>
            </w:tcBorders>
          </w:tcPr>
          <w:p w:rsidR="00C974DC" w:rsidRPr="00C974DC" w:rsidRDefault="00C974DC" w:rsidP="00C974DC">
            <w:pPr>
              <w:spacing w:line="240" w:lineRule="auto"/>
              <w:rPr>
                <w:rFonts w:ascii="明朝体" w:eastAsia="明朝体"/>
                <w:sz w:val="22"/>
                <w:szCs w:val="22"/>
              </w:rPr>
            </w:pPr>
          </w:p>
        </w:tc>
      </w:tr>
    </w:tbl>
    <w:p w:rsidR="00C974DC" w:rsidRPr="00C974DC" w:rsidRDefault="00C974DC" w:rsidP="00C974DC">
      <w:pPr>
        <w:spacing w:line="240" w:lineRule="auto"/>
        <w:rPr>
          <w:rFonts w:hAnsi="ＭＳ 明朝"/>
          <w:sz w:val="22"/>
          <w:szCs w:val="22"/>
        </w:rPr>
      </w:pPr>
    </w:p>
    <w:p w:rsidR="00C974DC" w:rsidRPr="00C974DC" w:rsidRDefault="00C974DC" w:rsidP="00C974DC">
      <w:pPr>
        <w:spacing w:line="240" w:lineRule="auto"/>
        <w:rPr>
          <w:rFonts w:hAnsi="ＭＳ 明朝"/>
          <w:sz w:val="22"/>
          <w:szCs w:val="22"/>
        </w:rPr>
      </w:pPr>
    </w:p>
    <w:p w:rsidR="00C974DC" w:rsidRPr="00C974DC" w:rsidRDefault="00C974DC" w:rsidP="00C974DC">
      <w:pPr>
        <w:spacing w:line="240" w:lineRule="auto"/>
        <w:ind w:firstLineChars="3400" w:firstLine="8056"/>
        <w:rPr>
          <w:rFonts w:hAnsi="ＭＳ 明朝"/>
          <w:szCs w:val="24"/>
        </w:rPr>
      </w:pPr>
    </w:p>
    <w:p w:rsidR="00C974DC" w:rsidRPr="00C974DC" w:rsidRDefault="00C974DC" w:rsidP="00C974DC">
      <w:pPr>
        <w:spacing w:line="240" w:lineRule="auto"/>
        <w:rPr>
          <w:rFonts w:ascii="明朝体" w:eastAsia="明朝体"/>
        </w:rPr>
      </w:pPr>
    </w:p>
    <w:p w:rsidR="00C974DC" w:rsidRPr="00C974DC" w:rsidRDefault="00C974DC" w:rsidP="00C974DC">
      <w:pPr>
        <w:spacing w:line="240" w:lineRule="auto"/>
        <w:rPr>
          <w:rFonts w:hAnsi="ＭＳ 明朝"/>
          <w:szCs w:val="24"/>
        </w:rPr>
      </w:pPr>
    </w:p>
    <w:p w:rsidR="00C974DC" w:rsidRPr="00C974DC" w:rsidRDefault="00C974DC" w:rsidP="00C974DC">
      <w:pPr>
        <w:kinsoku w:val="0"/>
        <w:overflowPunct w:val="0"/>
        <w:snapToGrid w:val="0"/>
        <w:spacing w:line="240" w:lineRule="auto"/>
        <w:ind w:firstLineChars="200" w:firstLine="474"/>
        <w:rPr>
          <w:rFonts w:ascii="ＭＳ ゴシック" w:eastAsia="ＭＳ ゴシック" w:hAnsi="ＭＳ ゴシック"/>
          <w:szCs w:val="24"/>
        </w:rPr>
      </w:pPr>
      <w:r w:rsidRPr="00C974DC">
        <w:rPr>
          <w:rFonts w:ascii="ＭＳ ゴシック" w:eastAsia="ＭＳ ゴシック" w:hAnsi="ＭＳ ゴシック" w:hint="eastAsia"/>
          <w:szCs w:val="24"/>
        </w:rPr>
        <w:t>⑵　経常一般財源等比率</w:t>
      </w:r>
    </w:p>
    <w:p w:rsidR="00C974DC" w:rsidRPr="00C974DC" w:rsidRDefault="00C974DC" w:rsidP="00C974DC">
      <w:pPr>
        <w:kinsoku w:val="0"/>
        <w:overflowPunct w:val="0"/>
        <w:snapToGrid w:val="0"/>
        <w:spacing w:line="240" w:lineRule="auto"/>
        <w:ind w:leftChars="300" w:left="711" w:firstLineChars="100" w:firstLine="237"/>
        <w:rPr>
          <w:rFonts w:hAnsi="ＭＳ 明朝"/>
          <w:szCs w:val="24"/>
        </w:rPr>
      </w:pPr>
      <w:r w:rsidRPr="00C974DC">
        <w:rPr>
          <w:rFonts w:hAnsi="ＭＳ 明朝" w:hint="eastAsia"/>
          <w:szCs w:val="24"/>
        </w:rPr>
        <w:t>経常一般財源等比率は、歳入構造の弾力性を判断する指標とされており、この比率が高いほど、経常一般財源に余裕があり、歳入構造に弾力性があることを示すものである。</w:t>
      </w:r>
    </w:p>
    <w:p w:rsidR="00C974DC" w:rsidRPr="00C974DC" w:rsidRDefault="00C974DC" w:rsidP="00C974DC">
      <w:pPr>
        <w:kinsoku w:val="0"/>
        <w:overflowPunct w:val="0"/>
        <w:snapToGrid w:val="0"/>
        <w:spacing w:line="240" w:lineRule="auto"/>
        <w:ind w:leftChars="300" w:left="711" w:firstLineChars="100" w:firstLine="237"/>
        <w:rPr>
          <w:rFonts w:hAnsi="ＭＳ 明朝"/>
          <w:szCs w:val="24"/>
        </w:rPr>
      </w:pPr>
      <w:r w:rsidRPr="00C974DC">
        <w:rPr>
          <w:rFonts w:hAnsi="ＭＳ 明朝" w:hint="eastAsia"/>
          <w:szCs w:val="24"/>
        </w:rPr>
        <w:t>当年度は98.4％で、前年度と比較すると0.7ポイント下降している。</w:t>
      </w: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ind w:firstLineChars="3500" w:firstLine="8293"/>
        <w:rPr>
          <w:rFonts w:ascii="明朝体" w:eastAsia="明朝体"/>
          <w:szCs w:val="24"/>
        </w:rPr>
      </w:pPr>
      <w:r w:rsidRPr="00C974DC">
        <w:rPr>
          <w:rFonts w:ascii="明朝体" w:eastAsia="明朝体" w:hint="eastAsia"/>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1559"/>
        <w:gridCol w:w="1559"/>
        <w:gridCol w:w="1523"/>
        <w:gridCol w:w="1968"/>
      </w:tblGrid>
      <w:tr w:rsidR="00C974DC" w:rsidRPr="00C974DC" w:rsidTr="00BB3C9C">
        <w:trPr>
          <w:trHeight w:val="579"/>
        </w:trPr>
        <w:tc>
          <w:tcPr>
            <w:tcW w:w="2552"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区　　　　分</w:t>
            </w:r>
          </w:p>
        </w:tc>
        <w:tc>
          <w:tcPr>
            <w:tcW w:w="1559"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28年度</w:t>
            </w:r>
          </w:p>
        </w:tc>
        <w:tc>
          <w:tcPr>
            <w:tcW w:w="1559"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27年度</w:t>
            </w:r>
          </w:p>
        </w:tc>
        <w:tc>
          <w:tcPr>
            <w:tcW w:w="1523"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26年度</w:t>
            </w:r>
          </w:p>
        </w:tc>
        <w:tc>
          <w:tcPr>
            <w:tcW w:w="1968"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27年度類似団体</w:t>
            </w:r>
          </w:p>
        </w:tc>
      </w:tr>
      <w:tr w:rsidR="00C974DC" w:rsidRPr="00C974DC" w:rsidTr="00BB3C9C">
        <w:trPr>
          <w:trHeight w:val="559"/>
        </w:trPr>
        <w:tc>
          <w:tcPr>
            <w:tcW w:w="2552" w:type="dxa"/>
            <w:vAlign w:val="center"/>
          </w:tcPr>
          <w:p w:rsidR="00C974DC" w:rsidRPr="00C974DC" w:rsidRDefault="00C974DC" w:rsidP="00C974DC">
            <w:pPr>
              <w:spacing w:line="240" w:lineRule="auto"/>
              <w:rPr>
                <w:rFonts w:ascii="明朝体" w:eastAsia="明朝体"/>
                <w:spacing w:val="2"/>
                <w:szCs w:val="24"/>
              </w:rPr>
            </w:pPr>
            <w:r w:rsidRPr="00C974DC">
              <w:rPr>
                <w:rFonts w:ascii="明朝体" w:eastAsia="明朝体" w:hint="eastAsia"/>
                <w:spacing w:val="2"/>
                <w:szCs w:val="24"/>
              </w:rPr>
              <w:t>経常一般財源等比率</w:t>
            </w:r>
          </w:p>
        </w:tc>
        <w:tc>
          <w:tcPr>
            <w:tcW w:w="1559"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98.4</w:t>
            </w:r>
          </w:p>
        </w:tc>
        <w:tc>
          <w:tcPr>
            <w:tcW w:w="1559"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99.1</w:t>
            </w:r>
          </w:p>
        </w:tc>
        <w:tc>
          <w:tcPr>
            <w:tcW w:w="1523"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97.0</w:t>
            </w:r>
          </w:p>
        </w:tc>
        <w:tc>
          <w:tcPr>
            <w:tcW w:w="1968" w:type="dxa"/>
            <w:vAlign w:val="center"/>
          </w:tcPr>
          <w:p w:rsidR="00C974DC" w:rsidRPr="00C974DC" w:rsidRDefault="00C974DC" w:rsidP="00C974DC">
            <w:pPr>
              <w:spacing w:line="240" w:lineRule="auto"/>
              <w:jc w:val="center"/>
              <w:rPr>
                <w:rFonts w:ascii="明朝体" w:eastAsia="明朝体"/>
                <w:spacing w:val="2"/>
                <w:szCs w:val="24"/>
              </w:rPr>
            </w:pPr>
            <w:r w:rsidRPr="00C974DC">
              <w:rPr>
                <w:rFonts w:ascii="明朝体" w:eastAsia="明朝体" w:hint="eastAsia"/>
                <w:spacing w:val="2"/>
                <w:szCs w:val="24"/>
              </w:rPr>
              <w:t>96.5</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776"/>
      </w:tblGrid>
      <w:tr w:rsidR="00C974DC" w:rsidRPr="00C974DC" w:rsidTr="00BB3C9C">
        <w:tc>
          <w:tcPr>
            <w:tcW w:w="2835" w:type="dxa"/>
            <w:vMerge w:val="restart"/>
            <w:tcBorders>
              <w:top w:val="nil"/>
              <w:left w:val="nil"/>
              <w:right w:val="nil"/>
            </w:tcBorders>
            <w:vAlign w:val="center"/>
          </w:tcPr>
          <w:p w:rsidR="00C974DC" w:rsidRPr="00C974DC" w:rsidRDefault="00C974DC" w:rsidP="00C974DC">
            <w:pPr>
              <w:spacing w:line="240" w:lineRule="auto"/>
              <w:jc w:val="right"/>
              <w:rPr>
                <w:rFonts w:ascii="明朝体" w:eastAsia="明朝体"/>
                <w:spacing w:val="2"/>
                <w:sz w:val="22"/>
                <w:szCs w:val="22"/>
              </w:rPr>
            </w:pPr>
            <w:r w:rsidRPr="00C974DC">
              <w:rPr>
                <w:rFonts w:ascii="明朝体" w:eastAsia="明朝体" w:hint="eastAsia"/>
                <w:spacing w:val="2"/>
                <w:sz w:val="22"/>
                <w:szCs w:val="22"/>
              </w:rPr>
              <w:t>経常一般財源等比率＝</w:t>
            </w:r>
          </w:p>
        </w:tc>
        <w:tc>
          <w:tcPr>
            <w:tcW w:w="2693" w:type="dxa"/>
            <w:tcBorders>
              <w:top w:val="nil"/>
              <w:left w:val="nil"/>
              <w:right w:val="nil"/>
            </w:tcBorders>
            <w:vAlign w:val="bottom"/>
          </w:tcPr>
          <w:p w:rsidR="00C974DC" w:rsidRPr="00C974DC" w:rsidRDefault="00C974DC" w:rsidP="00C974DC">
            <w:pPr>
              <w:spacing w:line="240" w:lineRule="auto"/>
              <w:jc w:val="center"/>
              <w:rPr>
                <w:rFonts w:ascii="明朝体" w:eastAsia="明朝体"/>
                <w:spacing w:val="2"/>
                <w:sz w:val="22"/>
                <w:szCs w:val="22"/>
              </w:rPr>
            </w:pPr>
            <w:r w:rsidRPr="00C974DC">
              <w:rPr>
                <w:rFonts w:ascii="明朝体" w:eastAsia="明朝体" w:hint="eastAsia"/>
                <w:spacing w:val="2"/>
                <w:sz w:val="22"/>
                <w:szCs w:val="22"/>
              </w:rPr>
              <w:t>経常一般財源等収入額</w:t>
            </w:r>
          </w:p>
        </w:tc>
        <w:tc>
          <w:tcPr>
            <w:tcW w:w="776" w:type="dxa"/>
            <w:vMerge w:val="restart"/>
            <w:tcBorders>
              <w:top w:val="nil"/>
              <w:left w:val="nil"/>
              <w:right w:val="nil"/>
            </w:tcBorders>
            <w:vAlign w:val="center"/>
          </w:tcPr>
          <w:p w:rsidR="00C974DC" w:rsidRPr="00C974DC" w:rsidRDefault="00C974DC" w:rsidP="00C974DC">
            <w:pPr>
              <w:spacing w:line="240" w:lineRule="auto"/>
              <w:rPr>
                <w:rFonts w:ascii="明朝体" w:eastAsia="明朝体"/>
                <w:spacing w:val="2"/>
                <w:sz w:val="22"/>
                <w:szCs w:val="22"/>
              </w:rPr>
            </w:pPr>
            <w:r w:rsidRPr="00C974DC">
              <w:rPr>
                <w:rFonts w:ascii="明朝体" w:eastAsia="明朝体" w:hint="eastAsia"/>
                <w:spacing w:val="2"/>
                <w:sz w:val="22"/>
                <w:szCs w:val="22"/>
              </w:rPr>
              <w:t>×100</w:t>
            </w:r>
          </w:p>
        </w:tc>
      </w:tr>
      <w:tr w:rsidR="00C974DC" w:rsidRPr="00C974DC" w:rsidTr="00BB3C9C">
        <w:trPr>
          <w:trHeight w:val="70"/>
        </w:trPr>
        <w:tc>
          <w:tcPr>
            <w:tcW w:w="2835" w:type="dxa"/>
            <w:vMerge/>
            <w:tcBorders>
              <w:left w:val="nil"/>
              <w:bottom w:val="nil"/>
              <w:right w:val="nil"/>
            </w:tcBorders>
          </w:tcPr>
          <w:p w:rsidR="00C974DC" w:rsidRPr="00C974DC" w:rsidRDefault="00C974DC" w:rsidP="00C974DC">
            <w:pPr>
              <w:spacing w:line="240" w:lineRule="auto"/>
              <w:rPr>
                <w:rFonts w:ascii="明朝体" w:eastAsia="明朝体"/>
                <w:spacing w:val="2"/>
                <w:sz w:val="22"/>
                <w:szCs w:val="22"/>
              </w:rPr>
            </w:pPr>
          </w:p>
        </w:tc>
        <w:tc>
          <w:tcPr>
            <w:tcW w:w="2693" w:type="dxa"/>
            <w:tcBorders>
              <w:left w:val="nil"/>
              <w:bottom w:val="nil"/>
              <w:right w:val="nil"/>
            </w:tcBorders>
          </w:tcPr>
          <w:p w:rsidR="00C974DC" w:rsidRPr="00C974DC" w:rsidRDefault="00C974DC" w:rsidP="00C974DC">
            <w:pPr>
              <w:spacing w:line="240" w:lineRule="auto"/>
              <w:jc w:val="center"/>
              <w:rPr>
                <w:rFonts w:ascii="明朝体" w:eastAsia="明朝体"/>
                <w:spacing w:val="2"/>
                <w:sz w:val="22"/>
                <w:szCs w:val="22"/>
              </w:rPr>
            </w:pPr>
            <w:r w:rsidRPr="00C974DC">
              <w:rPr>
                <w:rFonts w:ascii="明朝体" w:eastAsia="明朝体" w:hint="eastAsia"/>
                <w:spacing w:val="2"/>
                <w:sz w:val="22"/>
                <w:szCs w:val="22"/>
              </w:rPr>
              <w:t>標準財政規模</w:t>
            </w:r>
          </w:p>
        </w:tc>
        <w:tc>
          <w:tcPr>
            <w:tcW w:w="776" w:type="dxa"/>
            <w:vMerge/>
            <w:tcBorders>
              <w:left w:val="nil"/>
              <w:bottom w:val="nil"/>
              <w:right w:val="nil"/>
            </w:tcBorders>
          </w:tcPr>
          <w:p w:rsidR="00C974DC" w:rsidRPr="00C974DC" w:rsidRDefault="00C974DC" w:rsidP="00C974DC">
            <w:pPr>
              <w:spacing w:line="240" w:lineRule="auto"/>
              <w:rPr>
                <w:rFonts w:ascii="明朝体" w:eastAsia="明朝体"/>
                <w:spacing w:val="2"/>
                <w:sz w:val="22"/>
                <w:szCs w:val="22"/>
              </w:rPr>
            </w:pPr>
          </w:p>
        </w:tc>
      </w:tr>
      <w:tr w:rsidR="00C974DC" w:rsidRPr="00C974DC" w:rsidTr="00BB3C9C">
        <w:trPr>
          <w:trHeight w:val="394"/>
        </w:trPr>
        <w:tc>
          <w:tcPr>
            <w:tcW w:w="6304" w:type="dxa"/>
            <w:gridSpan w:val="3"/>
            <w:tcBorders>
              <w:top w:val="nil"/>
              <w:left w:val="nil"/>
              <w:bottom w:val="nil"/>
              <w:right w:val="nil"/>
            </w:tcBorders>
          </w:tcPr>
          <w:p w:rsidR="00C974DC" w:rsidRPr="00C974DC" w:rsidRDefault="00C974DC" w:rsidP="00C974DC">
            <w:pPr>
              <w:spacing w:line="240" w:lineRule="auto"/>
              <w:ind w:firstLineChars="100" w:firstLine="221"/>
              <w:jc w:val="left"/>
              <w:rPr>
                <w:rFonts w:ascii="明朝体" w:eastAsia="明朝体"/>
                <w:spacing w:val="2"/>
                <w:sz w:val="22"/>
                <w:szCs w:val="22"/>
              </w:rPr>
            </w:pPr>
          </w:p>
        </w:tc>
      </w:tr>
    </w:tbl>
    <w:p w:rsidR="00C974DC" w:rsidRPr="00C974DC" w:rsidRDefault="00C974DC" w:rsidP="00C974DC">
      <w:pPr>
        <w:spacing w:line="240" w:lineRule="auto"/>
        <w:rPr>
          <w:rFonts w:ascii="明朝体" w:eastAsia="明朝体"/>
          <w:spacing w:val="2"/>
          <w:szCs w:val="24"/>
        </w:rPr>
      </w:pPr>
    </w:p>
    <w:p w:rsidR="00C974DC" w:rsidRPr="00C974DC" w:rsidRDefault="00C974DC" w:rsidP="00C974DC">
      <w:pPr>
        <w:spacing w:line="240" w:lineRule="auto"/>
        <w:rPr>
          <w:rFonts w:ascii="明朝体" w:eastAsia="明朝体"/>
          <w:spacing w:val="2"/>
          <w:sz w:val="22"/>
          <w:szCs w:val="22"/>
        </w:rPr>
      </w:pPr>
    </w:p>
    <w:p w:rsidR="00C974DC" w:rsidRPr="00C974DC" w:rsidRDefault="00C974DC" w:rsidP="00C974DC">
      <w:pPr>
        <w:spacing w:line="240" w:lineRule="auto"/>
        <w:rPr>
          <w:rFonts w:ascii="明朝体" w:eastAsia="明朝体"/>
          <w:spacing w:val="2"/>
          <w:sz w:val="22"/>
          <w:szCs w:val="22"/>
        </w:rPr>
      </w:pPr>
    </w:p>
    <w:p w:rsidR="00C974DC" w:rsidRPr="00C974DC" w:rsidRDefault="00C974DC" w:rsidP="00C974DC">
      <w:pPr>
        <w:rPr>
          <w:rFonts w:ascii="明朝体" w:eastAsia="明朝体"/>
          <w:spacing w:val="2"/>
          <w:szCs w:val="24"/>
        </w:rPr>
      </w:pPr>
    </w:p>
    <w:p w:rsidR="00C974DC" w:rsidRPr="00C974DC" w:rsidRDefault="00C974DC" w:rsidP="00C974DC">
      <w:pPr>
        <w:rPr>
          <w:rFonts w:ascii="明朝体" w:eastAsia="明朝体"/>
          <w:spacing w:val="2"/>
          <w:szCs w:val="24"/>
        </w:rPr>
      </w:pPr>
    </w:p>
    <w:p w:rsidR="00C974DC" w:rsidRPr="00C974DC" w:rsidRDefault="00C974DC" w:rsidP="00C974DC">
      <w:pPr>
        <w:kinsoku w:val="0"/>
        <w:overflowPunct w:val="0"/>
        <w:snapToGrid w:val="0"/>
        <w:spacing w:line="240" w:lineRule="auto"/>
        <w:ind w:firstLineChars="200" w:firstLine="474"/>
        <w:rPr>
          <w:rFonts w:ascii="ＭＳ ゴシック" w:eastAsia="ＭＳ ゴシック" w:hAnsi="ＭＳ ゴシック"/>
          <w:szCs w:val="24"/>
        </w:rPr>
      </w:pPr>
    </w:p>
    <w:p w:rsidR="00C974DC" w:rsidRPr="00C974DC" w:rsidRDefault="00C974DC" w:rsidP="00C974DC">
      <w:pPr>
        <w:kinsoku w:val="0"/>
        <w:overflowPunct w:val="0"/>
        <w:snapToGrid w:val="0"/>
        <w:spacing w:line="240" w:lineRule="auto"/>
        <w:ind w:firstLineChars="200" w:firstLine="474"/>
        <w:rPr>
          <w:rFonts w:ascii="ＭＳ ゴシック" w:eastAsia="ＭＳ ゴシック" w:hAnsi="ＭＳ ゴシック"/>
          <w:szCs w:val="24"/>
        </w:rPr>
      </w:pPr>
    </w:p>
    <w:p w:rsidR="00C974DC" w:rsidRPr="00C974DC" w:rsidRDefault="00C974DC" w:rsidP="00C974DC">
      <w:pPr>
        <w:kinsoku w:val="0"/>
        <w:overflowPunct w:val="0"/>
        <w:snapToGrid w:val="0"/>
        <w:spacing w:line="240" w:lineRule="auto"/>
        <w:ind w:firstLineChars="200" w:firstLine="474"/>
        <w:rPr>
          <w:rFonts w:ascii="ＭＳ ゴシック" w:eastAsia="ＭＳ ゴシック" w:hAnsi="ＭＳ ゴシック"/>
          <w:szCs w:val="24"/>
        </w:rPr>
      </w:pPr>
      <w:r w:rsidRPr="00C974DC">
        <w:rPr>
          <w:rFonts w:ascii="ＭＳ ゴシック" w:eastAsia="ＭＳ ゴシック" w:hAnsi="ＭＳ ゴシック" w:hint="eastAsia"/>
          <w:szCs w:val="24"/>
        </w:rPr>
        <w:lastRenderedPageBreak/>
        <w:t>⑶　経常収支比率</w:t>
      </w:r>
    </w:p>
    <w:p w:rsidR="00C974DC" w:rsidRPr="00C974DC" w:rsidRDefault="00C974DC" w:rsidP="00C974DC">
      <w:pPr>
        <w:kinsoku w:val="0"/>
        <w:overflowPunct w:val="0"/>
        <w:snapToGrid w:val="0"/>
        <w:spacing w:line="240" w:lineRule="auto"/>
        <w:ind w:leftChars="300" w:left="711" w:firstLineChars="100" w:firstLine="237"/>
        <w:rPr>
          <w:rFonts w:hAnsi="ＭＳ 明朝"/>
          <w:szCs w:val="24"/>
        </w:rPr>
      </w:pPr>
      <w:r w:rsidRPr="00C974DC">
        <w:rPr>
          <w:rFonts w:hAnsi="ＭＳ 明朝" w:hint="eastAsia"/>
          <w:szCs w:val="24"/>
        </w:rPr>
        <w:t>経常収支比率は、財政構造の弾力性を判断するための指標とされており、この比率が高いほど財政構造の硬直化が進んでいることを表わしている。</w:t>
      </w:r>
    </w:p>
    <w:p w:rsidR="00C974DC" w:rsidRPr="00C974DC" w:rsidRDefault="00C974DC" w:rsidP="00C974DC">
      <w:pPr>
        <w:kinsoku w:val="0"/>
        <w:overflowPunct w:val="0"/>
        <w:snapToGrid w:val="0"/>
        <w:spacing w:line="240" w:lineRule="auto"/>
        <w:ind w:firstLineChars="400" w:firstLine="948"/>
        <w:rPr>
          <w:rFonts w:hAnsi="ＭＳ 明朝"/>
          <w:szCs w:val="24"/>
        </w:rPr>
      </w:pPr>
      <w:r w:rsidRPr="00C974DC">
        <w:rPr>
          <w:rFonts w:hAnsi="ＭＳ 明朝" w:hint="eastAsia"/>
          <w:szCs w:val="24"/>
        </w:rPr>
        <w:t>当年度は88.5％となっており、前年度に比べ4.0ポイント上昇している。</w:t>
      </w:r>
    </w:p>
    <w:p w:rsidR="00C974DC" w:rsidRPr="00C974DC" w:rsidRDefault="00C974DC" w:rsidP="005D4F2C">
      <w:pPr>
        <w:kinsoku w:val="0"/>
        <w:overflowPunct w:val="0"/>
        <w:snapToGrid w:val="0"/>
        <w:spacing w:line="240" w:lineRule="auto"/>
        <w:ind w:leftChars="300" w:left="711" w:firstLineChars="100" w:firstLine="237"/>
        <w:rPr>
          <w:rFonts w:hAnsi="ＭＳ 明朝"/>
          <w:szCs w:val="24"/>
        </w:rPr>
      </w:pPr>
      <w:r w:rsidRPr="00C974DC">
        <w:rPr>
          <w:rFonts w:hAnsi="ＭＳ 明朝" w:hint="eastAsia"/>
          <w:szCs w:val="24"/>
        </w:rPr>
        <w:t>この数値は、国の地方財政対策に伴い発行した臨時財政対策債等を分母である経常一般財源等収入額に加えて算出されている。</w:t>
      </w:r>
    </w:p>
    <w:p w:rsidR="00C974DC" w:rsidRPr="00C974DC" w:rsidRDefault="00C974DC" w:rsidP="00C974DC">
      <w:pPr>
        <w:kinsoku w:val="0"/>
        <w:overflowPunct w:val="0"/>
        <w:snapToGrid w:val="0"/>
        <w:spacing w:line="240" w:lineRule="auto"/>
        <w:ind w:leftChars="300" w:left="711" w:firstLineChars="100" w:firstLine="237"/>
        <w:rPr>
          <w:rFonts w:hAnsi="ＭＳ 明朝"/>
          <w:szCs w:val="24"/>
          <w:shd w:val="pct15" w:color="auto" w:fill="FFFFFF"/>
        </w:rPr>
      </w:pPr>
      <w:r w:rsidRPr="00C974DC">
        <w:rPr>
          <w:rFonts w:hAnsi="ＭＳ 明朝" w:hint="eastAsia"/>
          <w:szCs w:val="24"/>
        </w:rPr>
        <w:t>臨時財政対策債等を除いて算出した比率については94.5％で、前年度と比べ3.2ポイント上昇しており、硬直化が進んでいる。</w:t>
      </w:r>
    </w:p>
    <w:p w:rsidR="00C974DC" w:rsidRPr="00C974DC" w:rsidRDefault="00C974DC" w:rsidP="00C974DC">
      <w:pPr>
        <w:kinsoku w:val="0"/>
        <w:overflowPunct w:val="0"/>
        <w:snapToGrid w:val="0"/>
        <w:spacing w:line="240" w:lineRule="auto"/>
        <w:rPr>
          <w:rFonts w:hAnsi="ＭＳ 明朝"/>
          <w:szCs w:val="24"/>
        </w:rPr>
      </w:pPr>
      <w:r w:rsidRPr="00C974DC">
        <w:rPr>
          <w:rFonts w:hAnsi="ＭＳ 明朝" w:hint="eastAsia"/>
          <w:szCs w:val="24"/>
        </w:rPr>
        <w:t xml:space="preserve">　　</w:t>
      </w:r>
    </w:p>
    <w:p w:rsidR="00C974DC" w:rsidRPr="00C974DC" w:rsidRDefault="00C974DC" w:rsidP="00C974DC">
      <w:pPr>
        <w:kinsoku w:val="0"/>
        <w:overflowPunct w:val="0"/>
        <w:snapToGrid w:val="0"/>
        <w:spacing w:line="240" w:lineRule="auto"/>
        <w:rPr>
          <w:rFonts w:hAnsi="ＭＳ 明朝"/>
          <w:szCs w:val="24"/>
        </w:rPr>
      </w:pPr>
    </w:p>
    <w:p w:rsidR="00C974DC" w:rsidRPr="00C974DC" w:rsidRDefault="00C974DC" w:rsidP="00C974DC">
      <w:pPr>
        <w:ind w:firstLineChars="3100" w:firstLine="7469"/>
        <w:rPr>
          <w:rFonts w:ascii="明朝体" w:eastAsia="明朝体"/>
          <w:spacing w:val="2"/>
          <w:szCs w:val="24"/>
        </w:rPr>
      </w:pPr>
      <w:r w:rsidRPr="00C974DC">
        <w:rPr>
          <w:rFonts w:ascii="明朝体" w:eastAsia="明朝体" w:hint="eastAsia"/>
          <w:spacing w:val="2"/>
          <w:szCs w:val="24"/>
        </w:rPr>
        <w:t>（単位：千円・％）</w:t>
      </w:r>
    </w:p>
    <w:bookmarkStart w:id="5" w:name="_MON_1438509512"/>
    <w:bookmarkEnd w:id="5"/>
    <w:p w:rsidR="00C974DC" w:rsidRPr="00C974DC" w:rsidRDefault="00C974DC" w:rsidP="00C974DC">
      <w:pPr>
        <w:ind w:firstLineChars="239" w:firstLine="569"/>
        <w:rPr>
          <w:rFonts w:ascii="明朝体" w:eastAsia="明朝体"/>
          <w:b/>
          <w:spacing w:val="2"/>
          <w:szCs w:val="24"/>
        </w:rPr>
      </w:pPr>
      <w:r w:rsidRPr="00C974DC">
        <w:rPr>
          <w:rFonts w:ascii="明朝体" w:eastAsia="明朝体"/>
          <w:b/>
          <w:spacing w:val="2"/>
          <w:szCs w:val="24"/>
        </w:rPr>
        <w:object w:dxaOrig="9165" w:dyaOrig="8261">
          <v:shape id="_x0000_i1030" type="#_x0000_t75" style="width:453.3pt;height:421.05pt" o:ole="">
            <v:imagedata r:id="rId18" o:title=""/>
          </v:shape>
          <o:OLEObject Type="Embed" ProgID="Excel.Sheet.12" ShapeID="_x0000_i1030" DrawAspect="Content" ObjectID="_1568631030" r:id="rId19"/>
        </w:object>
      </w:r>
    </w:p>
    <w:p w:rsidR="00C974DC" w:rsidRPr="00C974DC" w:rsidRDefault="00C974DC" w:rsidP="00C974DC">
      <w:pPr>
        <w:spacing w:line="240" w:lineRule="auto"/>
        <w:ind w:leftChars="300" w:left="1105" w:hangingChars="200" w:hanging="394"/>
        <w:rPr>
          <w:rFonts w:hAnsi="ＭＳ 明朝"/>
          <w:sz w:val="20"/>
        </w:rPr>
      </w:pPr>
      <w:r w:rsidRPr="00C974DC">
        <w:rPr>
          <w:rFonts w:hAnsi="ＭＳ 明朝" w:hint="eastAsia"/>
          <w:sz w:val="20"/>
        </w:rPr>
        <w:t>※　（　）は、臨時財政対策債及び減収補てん債特例分を経常収支比率算出上の分母から除いた場合の経常収支比率である。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095"/>
        <w:gridCol w:w="850"/>
      </w:tblGrid>
      <w:tr w:rsidR="00C974DC" w:rsidRPr="00C974DC" w:rsidTr="00BB3C9C">
        <w:trPr>
          <w:trHeight w:val="148"/>
        </w:trPr>
        <w:tc>
          <w:tcPr>
            <w:tcW w:w="1985" w:type="dxa"/>
            <w:vMerge w:val="restart"/>
            <w:tcBorders>
              <w:top w:val="nil"/>
              <w:left w:val="nil"/>
              <w:right w:val="nil"/>
            </w:tcBorders>
            <w:vAlign w:val="center"/>
          </w:tcPr>
          <w:p w:rsidR="00C974DC" w:rsidRPr="00C974DC" w:rsidRDefault="00C974DC" w:rsidP="00C974DC">
            <w:pPr>
              <w:spacing w:line="240" w:lineRule="auto"/>
              <w:jc w:val="right"/>
              <w:rPr>
                <w:rFonts w:hAnsi="ＭＳ 明朝"/>
                <w:spacing w:val="2"/>
                <w:sz w:val="20"/>
              </w:rPr>
            </w:pPr>
            <w:r w:rsidRPr="00C974DC">
              <w:rPr>
                <w:rFonts w:hAnsi="ＭＳ 明朝" w:hint="eastAsia"/>
                <w:spacing w:val="2"/>
                <w:sz w:val="20"/>
              </w:rPr>
              <w:t>経常収支比率＝</w:t>
            </w:r>
          </w:p>
        </w:tc>
        <w:tc>
          <w:tcPr>
            <w:tcW w:w="6095" w:type="dxa"/>
            <w:tcBorders>
              <w:top w:val="nil"/>
              <w:left w:val="nil"/>
              <w:right w:val="nil"/>
            </w:tcBorders>
            <w:vAlign w:val="bottom"/>
          </w:tcPr>
          <w:p w:rsidR="00C974DC" w:rsidRPr="00C974DC" w:rsidRDefault="00C974DC" w:rsidP="00C974DC">
            <w:pPr>
              <w:spacing w:line="240" w:lineRule="auto"/>
              <w:jc w:val="center"/>
              <w:rPr>
                <w:rFonts w:hAnsi="ＭＳ 明朝"/>
                <w:spacing w:val="2"/>
                <w:sz w:val="20"/>
              </w:rPr>
            </w:pPr>
            <w:r w:rsidRPr="00C974DC">
              <w:rPr>
                <w:rFonts w:hAnsi="ＭＳ 明朝" w:hint="eastAsia"/>
                <w:spacing w:val="2"/>
                <w:sz w:val="20"/>
              </w:rPr>
              <w:t>経常経費充当一般財源額</w:t>
            </w:r>
          </w:p>
        </w:tc>
        <w:tc>
          <w:tcPr>
            <w:tcW w:w="850" w:type="dxa"/>
            <w:vMerge w:val="restart"/>
            <w:tcBorders>
              <w:top w:val="nil"/>
              <w:left w:val="nil"/>
              <w:right w:val="nil"/>
            </w:tcBorders>
            <w:vAlign w:val="center"/>
          </w:tcPr>
          <w:p w:rsidR="00C974DC" w:rsidRPr="00C974DC" w:rsidRDefault="00C974DC" w:rsidP="00C974DC">
            <w:pPr>
              <w:spacing w:line="240" w:lineRule="auto"/>
              <w:rPr>
                <w:rFonts w:hAnsi="ＭＳ 明朝"/>
                <w:spacing w:val="2"/>
                <w:sz w:val="20"/>
              </w:rPr>
            </w:pPr>
            <w:r w:rsidRPr="00C974DC">
              <w:rPr>
                <w:rFonts w:hAnsi="ＭＳ 明朝" w:hint="eastAsia"/>
                <w:spacing w:val="2"/>
                <w:sz w:val="20"/>
              </w:rPr>
              <w:t>×100</w:t>
            </w:r>
          </w:p>
        </w:tc>
      </w:tr>
      <w:tr w:rsidR="00C974DC" w:rsidRPr="00C974DC" w:rsidTr="00BB3C9C">
        <w:trPr>
          <w:trHeight w:val="70"/>
        </w:trPr>
        <w:tc>
          <w:tcPr>
            <w:tcW w:w="1985" w:type="dxa"/>
            <w:vMerge/>
            <w:tcBorders>
              <w:left w:val="nil"/>
              <w:bottom w:val="nil"/>
              <w:right w:val="nil"/>
            </w:tcBorders>
          </w:tcPr>
          <w:p w:rsidR="00C974DC" w:rsidRPr="00C974DC" w:rsidRDefault="00C974DC" w:rsidP="00C974DC">
            <w:pPr>
              <w:rPr>
                <w:rFonts w:hAnsi="ＭＳ 明朝"/>
                <w:spacing w:val="2"/>
                <w:sz w:val="20"/>
              </w:rPr>
            </w:pPr>
          </w:p>
        </w:tc>
        <w:tc>
          <w:tcPr>
            <w:tcW w:w="6095" w:type="dxa"/>
            <w:tcBorders>
              <w:left w:val="nil"/>
              <w:bottom w:val="nil"/>
              <w:right w:val="nil"/>
            </w:tcBorders>
          </w:tcPr>
          <w:p w:rsidR="00C974DC" w:rsidRPr="00C974DC" w:rsidRDefault="00C974DC" w:rsidP="00C974DC">
            <w:pPr>
              <w:spacing w:line="240" w:lineRule="auto"/>
              <w:rPr>
                <w:rFonts w:hAnsi="ＭＳ 明朝"/>
                <w:spacing w:val="2"/>
                <w:sz w:val="20"/>
              </w:rPr>
            </w:pPr>
            <w:r w:rsidRPr="00C974DC">
              <w:rPr>
                <w:rFonts w:hAnsi="ＭＳ 明朝" w:hint="eastAsia"/>
                <w:spacing w:val="2"/>
                <w:sz w:val="20"/>
              </w:rPr>
              <w:t>経常一般財源等収入額＋臨時財政対策債＋減収補てん債特例分</w:t>
            </w:r>
          </w:p>
        </w:tc>
        <w:tc>
          <w:tcPr>
            <w:tcW w:w="850" w:type="dxa"/>
            <w:vMerge/>
            <w:tcBorders>
              <w:left w:val="nil"/>
              <w:bottom w:val="nil"/>
              <w:right w:val="nil"/>
            </w:tcBorders>
          </w:tcPr>
          <w:p w:rsidR="00C974DC" w:rsidRPr="00C974DC" w:rsidRDefault="00C974DC" w:rsidP="00C974DC">
            <w:pPr>
              <w:rPr>
                <w:rFonts w:hAnsi="ＭＳ 明朝"/>
                <w:spacing w:val="2"/>
                <w:sz w:val="20"/>
              </w:rPr>
            </w:pPr>
          </w:p>
        </w:tc>
      </w:tr>
    </w:tbl>
    <w:p w:rsidR="005D4F2C" w:rsidRDefault="005D4F2C" w:rsidP="00C974DC">
      <w:pPr>
        <w:kinsoku w:val="0"/>
        <w:overflowPunct w:val="0"/>
        <w:snapToGrid w:val="0"/>
        <w:spacing w:line="240" w:lineRule="auto"/>
        <w:ind w:firstLineChars="200" w:firstLine="474"/>
        <w:rPr>
          <w:rFonts w:ascii="ＭＳ ゴシック" w:eastAsia="ＭＳ ゴシック" w:hAnsi="ＭＳ ゴシック" w:hint="eastAsia"/>
          <w:szCs w:val="24"/>
        </w:rPr>
      </w:pPr>
    </w:p>
    <w:p w:rsidR="00C974DC" w:rsidRPr="00C974DC" w:rsidRDefault="00C974DC" w:rsidP="00C974DC">
      <w:pPr>
        <w:kinsoku w:val="0"/>
        <w:overflowPunct w:val="0"/>
        <w:snapToGrid w:val="0"/>
        <w:spacing w:line="240" w:lineRule="auto"/>
        <w:ind w:firstLineChars="200" w:firstLine="474"/>
        <w:rPr>
          <w:rFonts w:ascii="ＭＳ ゴシック" w:eastAsia="ＭＳ ゴシック" w:hAnsi="ＭＳ ゴシック"/>
          <w:szCs w:val="24"/>
        </w:rPr>
      </w:pPr>
      <w:r w:rsidRPr="00C974DC">
        <w:rPr>
          <w:rFonts w:ascii="ＭＳ ゴシック" w:eastAsia="ＭＳ ゴシック" w:hAnsi="ＭＳ ゴシック"/>
          <w:szCs w:val="24"/>
        </w:rPr>
        <w:lastRenderedPageBreak/>
        <w:t xml:space="preserve">⑷　</w:t>
      </w:r>
      <w:r w:rsidRPr="00C974DC">
        <w:rPr>
          <w:rFonts w:ascii="ＭＳ ゴシック" w:eastAsia="ＭＳ ゴシック" w:hAnsi="ＭＳ ゴシック" w:hint="eastAsia"/>
          <w:szCs w:val="24"/>
        </w:rPr>
        <w:t>実質</w:t>
      </w:r>
      <w:r w:rsidRPr="00C974DC">
        <w:rPr>
          <w:rFonts w:ascii="ＭＳ ゴシック" w:eastAsia="ＭＳ ゴシック" w:hAnsi="ＭＳ ゴシック"/>
          <w:szCs w:val="24"/>
        </w:rPr>
        <w:t>公債費比率</w:t>
      </w:r>
    </w:p>
    <w:p w:rsidR="00C974DC" w:rsidRPr="00C974DC" w:rsidRDefault="00C974DC" w:rsidP="00C974DC">
      <w:pPr>
        <w:snapToGrid w:val="0"/>
        <w:spacing w:line="240" w:lineRule="auto"/>
        <w:ind w:leftChars="300" w:left="711" w:firstLineChars="100" w:firstLine="237"/>
        <w:jc w:val="left"/>
        <w:rPr>
          <w:rFonts w:hAnsi="ＭＳ 明朝"/>
          <w:szCs w:val="24"/>
        </w:rPr>
      </w:pPr>
      <w:r w:rsidRPr="00C974DC">
        <w:rPr>
          <w:rFonts w:hAnsi="ＭＳ 明朝" w:hint="eastAsia"/>
          <w:szCs w:val="24"/>
        </w:rPr>
        <w:t>実質</w:t>
      </w:r>
      <w:r w:rsidRPr="00C974DC">
        <w:rPr>
          <w:rFonts w:hAnsi="ＭＳ 明朝"/>
          <w:szCs w:val="24"/>
        </w:rPr>
        <w:t>公債費比率は</w:t>
      </w:r>
      <w:r w:rsidRPr="00C974DC">
        <w:rPr>
          <w:rFonts w:hAnsi="ＭＳ 明朝" w:hint="eastAsia"/>
          <w:szCs w:val="24"/>
        </w:rPr>
        <w:t>、公債費による財政負担の度合いを判断する指標とされており</w:t>
      </w:r>
      <w:r w:rsidRPr="00C974DC">
        <w:rPr>
          <w:rFonts w:hAnsi="ＭＳ 明朝"/>
          <w:szCs w:val="24"/>
        </w:rPr>
        <w:t>、この比率が高いほど財政硬直化の一因となる</w:t>
      </w:r>
      <w:r w:rsidRPr="00C974DC">
        <w:rPr>
          <w:rFonts w:hAnsi="ＭＳ 明朝" w:hint="eastAsia"/>
          <w:szCs w:val="24"/>
        </w:rPr>
        <w:t>。</w:t>
      </w:r>
    </w:p>
    <w:p w:rsidR="00C974DC" w:rsidRPr="00C974DC" w:rsidRDefault="00C974DC" w:rsidP="00C974DC">
      <w:pPr>
        <w:spacing w:line="240" w:lineRule="auto"/>
        <w:ind w:leftChars="300" w:left="711" w:firstLineChars="100" w:firstLine="237"/>
        <w:jc w:val="distribute"/>
        <w:rPr>
          <w:rFonts w:hAnsi="ＭＳ 明朝"/>
          <w:szCs w:val="24"/>
        </w:rPr>
      </w:pPr>
      <w:r w:rsidRPr="00C974DC">
        <w:rPr>
          <w:rFonts w:hAnsi="ＭＳ 明朝" w:hint="eastAsia"/>
          <w:szCs w:val="24"/>
        </w:rPr>
        <w:t xml:space="preserve">この比率が18％以上になると地方債の発行に対し許可が必要となり、25％以上になると「財政健全化計画」、35％以上になると「財政再生計画」の策定が義務づけ　　</w:t>
      </w:r>
    </w:p>
    <w:p w:rsidR="00C974DC" w:rsidRPr="00C974DC" w:rsidRDefault="00C974DC" w:rsidP="00C974DC">
      <w:pPr>
        <w:spacing w:line="240" w:lineRule="auto"/>
        <w:ind w:firstLineChars="300" w:firstLine="711"/>
        <w:rPr>
          <w:rFonts w:hAnsi="ＭＳ 明朝"/>
          <w:szCs w:val="24"/>
        </w:rPr>
      </w:pPr>
      <w:r w:rsidRPr="00C974DC">
        <w:rPr>
          <w:rFonts w:hAnsi="ＭＳ 明朝" w:hint="eastAsia"/>
          <w:szCs w:val="24"/>
        </w:rPr>
        <w:t>られる。</w:t>
      </w:r>
    </w:p>
    <w:p w:rsidR="00C974DC" w:rsidRPr="00C974DC" w:rsidRDefault="00C974DC" w:rsidP="00C974DC">
      <w:pPr>
        <w:spacing w:line="240" w:lineRule="auto"/>
        <w:ind w:firstLineChars="400" w:firstLine="948"/>
        <w:rPr>
          <w:rFonts w:hAnsi="ＭＳ 明朝"/>
          <w:szCs w:val="24"/>
        </w:rPr>
      </w:pPr>
      <w:r w:rsidRPr="00C974DC">
        <w:rPr>
          <w:rFonts w:hAnsi="ＭＳ 明朝"/>
          <w:szCs w:val="24"/>
        </w:rPr>
        <w:t>当年度は</w:t>
      </w:r>
      <w:r w:rsidRPr="00C974DC">
        <w:rPr>
          <w:rFonts w:hAnsi="ＭＳ 明朝" w:hint="eastAsia"/>
          <w:szCs w:val="24"/>
        </w:rPr>
        <w:t>15.7</w:t>
      </w:r>
      <w:r w:rsidRPr="00C974DC">
        <w:rPr>
          <w:rFonts w:hAnsi="ＭＳ 明朝"/>
          <w:szCs w:val="24"/>
        </w:rPr>
        <w:t>％で</w:t>
      </w:r>
      <w:r w:rsidRPr="00C974DC">
        <w:rPr>
          <w:rFonts w:hAnsi="ＭＳ 明朝" w:hint="eastAsia"/>
          <w:szCs w:val="24"/>
        </w:rPr>
        <w:t>、前年度と比較すると0.5ポイント上昇している</w:t>
      </w:r>
      <w:r w:rsidRPr="00C974DC">
        <w:rPr>
          <w:rFonts w:hAnsi="ＭＳ 明朝"/>
          <w:szCs w:val="24"/>
        </w:rPr>
        <w:t>。</w:t>
      </w: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ind w:firstLineChars="3450" w:firstLine="8175"/>
        <w:rPr>
          <w:rFonts w:hAnsi="ＭＳ 明朝"/>
          <w:szCs w:val="24"/>
        </w:rPr>
      </w:pPr>
      <w:r w:rsidRPr="00C974DC">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1843"/>
        <w:gridCol w:w="1701"/>
        <w:gridCol w:w="1664"/>
        <w:gridCol w:w="1880"/>
      </w:tblGrid>
      <w:tr w:rsidR="00C974DC" w:rsidRPr="00C974DC" w:rsidTr="00BB3C9C">
        <w:trPr>
          <w:trHeight w:val="603"/>
        </w:trPr>
        <w:tc>
          <w:tcPr>
            <w:tcW w:w="1985"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区　　　分</w:t>
            </w:r>
          </w:p>
        </w:tc>
        <w:tc>
          <w:tcPr>
            <w:tcW w:w="1843"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28年度</w:t>
            </w:r>
          </w:p>
        </w:tc>
        <w:tc>
          <w:tcPr>
            <w:tcW w:w="1701"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27年度</w:t>
            </w:r>
          </w:p>
        </w:tc>
        <w:tc>
          <w:tcPr>
            <w:tcW w:w="1664"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26年度</w:t>
            </w:r>
          </w:p>
        </w:tc>
        <w:tc>
          <w:tcPr>
            <w:tcW w:w="1880"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27年度類似団体</w:t>
            </w:r>
          </w:p>
        </w:tc>
      </w:tr>
      <w:tr w:rsidR="00C974DC" w:rsidRPr="00C974DC" w:rsidTr="00BB3C9C">
        <w:trPr>
          <w:trHeight w:val="696"/>
        </w:trPr>
        <w:tc>
          <w:tcPr>
            <w:tcW w:w="1985" w:type="dxa"/>
            <w:vAlign w:val="center"/>
          </w:tcPr>
          <w:p w:rsidR="00C974DC" w:rsidRPr="00C974DC" w:rsidRDefault="00C974DC" w:rsidP="00C974DC">
            <w:pPr>
              <w:spacing w:line="240" w:lineRule="auto"/>
              <w:rPr>
                <w:rFonts w:hAnsi="ＭＳ 明朝"/>
                <w:szCs w:val="24"/>
              </w:rPr>
            </w:pPr>
            <w:r w:rsidRPr="00C974DC">
              <w:rPr>
                <w:rFonts w:hAnsi="ＭＳ 明朝" w:hint="eastAsia"/>
                <w:szCs w:val="24"/>
              </w:rPr>
              <w:t>実質公債費比率</w:t>
            </w:r>
          </w:p>
        </w:tc>
        <w:tc>
          <w:tcPr>
            <w:tcW w:w="1843"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15.7</w:t>
            </w:r>
          </w:p>
        </w:tc>
        <w:tc>
          <w:tcPr>
            <w:tcW w:w="1701"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15.2</w:t>
            </w:r>
          </w:p>
        </w:tc>
        <w:tc>
          <w:tcPr>
            <w:tcW w:w="1664"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15.1</w:t>
            </w:r>
          </w:p>
        </w:tc>
        <w:tc>
          <w:tcPr>
            <w:tcW w:w="1880" w:type="dxa"/>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5.8</w:t>
            </w:r>
          </w:p>
        </w:tc>
      </w:tr>
    </w:tbl>
    <w:p w:rsidR="00C974DC" w:rsidRPr="00C974DC" w:rsidRDefault="00C974DC" w:rsidP="00C974DC">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701"/>
        <w:gridCol w:w="5050"/>
      </w:tblGrid>
      <w:tr w:rsidR="00C974DC" w:rsidRPr="00C974DC" w:rsidTr="00BB3C9C">
        <w:trPr>
          <w:trHeight w:val="249"/>
        </w:trPr>
        <w:tc>
          <w:tcPr>
            <w:tcW w:w="2410" w:type="dxa"/>
            <w:vMerge w:val="restart"/>
            <w:tcBorders>
              <w:top w:val="nil"/>
              <w:left w:val="nil"/>
              <w:right w:val="nil"/>
            </w:tcBorders>
            <w:vAlign w:val="center"/>
          </w:tcPr>
          <w:p w:rsidR="00C974DC" w:rsidRPr="00C974DC" w:rsidRDefault="00C974DC" w:rsidP="00C974DC">
            <w:pPr>
              <w:spacing w:line="240" w:lineRule="auto"/>
              <w:jc w:val="right"/>
              <w:rPr>
                <w:rFonts w:hAnsi="ＭＳ 明朝"/>
                <w:szCs w:val="24"/>
              </w:rPr>
            </w:pPr>
            <w:r w:rsidRPr="00C974DC">
              <w:rPr>
                <w:rFonts w:hAnsi="ＭＳ 明朝" w:hint="eastAsia"/>
                <w:szCs w:val="24"/>
              </w:rPr>
              <w:t>実質公債費比率＝</w:t>
            </w:r>
          </w:p>
        </w:tc>
        <w:tc>
          <w:tcPr>
            <w:tcW w:w="1701" w:type="dxa"/>
            <w:tcBorders>
              <w:top w:val="nil"/>
              <w:left w:val="nil"/>
              <w:right w:val="nil"/>
            </w:tcBorders>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Ａ＋Ａ</w:t>
            </w:r>
            <w:r w:rsidRPr="00C974DC">
              <w:rPr>
                <w:rFonts w:hAnsi="ＭＳ 明朝"/>
                <w:szCs w:val="24"/>
              </w:rPr>
              <w:t>’</w:t>
            </w:r>
            <w:r w:rsidRPr="00C974DC">
              <w:rPr>
                <w:rFonts w:hAnsi="ＭＳ 明朝" w:hint="eastAsia"/>
                <w:szCs w:val="24"/>
              </w:rPr>
              <w:t>－Ｂ</w:t>
            </w:r>
          </w:p>
        </w:tc>
        <w:tc>
          <w:tcPr>
            <w:tcW w:w="5050" w:type="dxa"/>
            <w:vMerge w:val="restart"/>
            <w:tcBorders>
              <w:top w:val="nil"/>
              <w:left w:val="nil"/>
              <w:right w:val="nil"/>
            </w:tcBorders>
            <w:vAlign w:val="center"/>
          </w:tcPr>
          <w:p w:rsidR="00C974DC" w:rsidRPr="00C974DC" w:rsidRDefault="00C974DC" w:rsidP="00C974DC">
            <w:pPr>
              <w:spacing w:line="240" w:lineRule="auto"/>
              <w:rPr>
                <w:rFonts w:hAnsi="ＭＳ 明朝"/>
                <w:szCs w:val="24"/>
              </w:rPr>
            </w:pPr>
            <w:r w:rsidRPr="00C974DC">
              <w:rPr>
                <w:rFonts w:hAnsi="ＭＳ 明朝" w:hint="eastAsia"/>
                <w:szCs w:val="24"/>
              </w:rPr>
              <w:t>×100　の３か年の平均値</w:t>
            </w:r>
          </w:p>
        </w:tc>
      </w:tr>
      <w:tr w:rsidR="00C974DC" w:rsidRPr="00C974DC" w:rsidTr="00BB3C9C">
        <w:trPr>
          <w:trHeight w:val="298"/>
        </w:trPr>
        <w:tc>
          <w:tcPr>
            <w:tcW w:w="2410" w:type="dxa"/>
            <w:vMerge/>
            <w:tcBorders>
              <w:left w:val="nil"/>
              <w:bottom w:val="nil"/>
              <w:right w:val="nil"/>
            </w:tcBorders>
            <w:vAlign w:val="center"/>
          </w:tcPr>
          <w:p w:rsidR="00C974DC" w:rsidRPr="00C974DC" w:rsidRDefault="00C974DC" w:rsidP="00C974DC">
            <w:pPr>
              <w:spacing w:line="240" w:lineRule="auto"/>
              <w:jc w:val="center"/>
              <w:rPr>
                <w:rFonts w:hAnsi="ＭＳ 明朝"/>
                <w:szCs w:val="24"/>
              </w:rPr>
            </w:pPr>
          </w:p>
        </w:tc>
        <w:tc>
          <w:tcPr>
            <w:tcW w:w="1701" w:type="dxa"/>
            <w:tcBorders>
              <w:left w:val="nil"/>
              <w:bottom w:val="nil"/>
              <w:right w:val="nil"/>
            </w:tcBorders>
            <w:vAlign w:val="center"/>
          </w:tcPr>
          <w:p w:rsidR="00C974DC" w:rsidRPr="00C974DC" w:rsidRDefault="00C974DC" w:rsidP="00C974DC">
            <w:pPr>
              <w:spacing w:line="240" w:lineRule="auto"/>
              <w:jc w:val="center"/>
              <w:rPr>
                <w:rFonts w:hAnsi="ＭＳ 明朝"/>
                <w:szCs w:val="24"/>
              </w:rPr>
            </w:pPr>
            <w:r w:rsidRPr="00C974DC">
              <w:rPr>
                <w:rFonts w:hAnsi="ＭＳ 明朝" w:hint="eastAsia"/>
                <w:szCs w:val="24"/>
              </w:rPr>
              <w:t>Ｃ－Ｂ</w:t>
            </w:r>
            <w:r w:rsidRPr="00C974DC">
              <w:rPr>
                <w:rFonts w:hAnsi="ＭＳ 明朝"/>
                <w:szCs w:val="24"/>
              </w:rPr>
              <w:t>’</w:t>
            </w:r>
          </w:p>
        </w:tc>
        <w:tc>
          <w:tcPr>
            <w:tcW w:w="5050" w:type="dxa"/>
            <w:vMerge/>
            <w:tcBorders>
              <w:left w:val="nil"/>
              <w:bottom w:val="nil"/>
              <w:right w:val="nil"/>
            </w:tcBorders>
            <w:vAlign w:val="center"/>
          </w:tcPr>
          <w:p w:rsidR="00C974DC" w:rsidRPr="00C974DC" w:rsidRDefault="00C974DC" w:rsidP="00C974DC">
            <w:pPr>
              <w:spacing w:line="240" w:lineRule="auto"/>
              <w:jc w:val="center"/>
              <w:rPr>
                <w:rFonts w:hAnsi="ＭＳ 明朝"/>
                <w:szCs w:val="24"/>
              </w:rPr>
            </w:pPr>
          </w:p>
        </w:tc>
      </w:tr>
    </w:tbl>
    <w:p w:rsidR="00C974DC" w:rsidRPr="00C974DC" w:rsidRDefault="00C974DC" w:rsidP="00C974DC">
      <w:pPr>
        <w:kinsoku w:val="0"/>
        <w:overflowPunct w:val="0"/>
        <w:snapToGrid w:val="0"/>
        <w:spacing w:line="240" w:lineRule="auto"/>
        <w:ind w:firstLineChars="400" w:firstLine="948"/>
        <w:rPr>
          <w:rFonts w:hAnsi="ＭＳ 明朝"/>
          <w:szCs w:val="24"/>
        </w:rPr>
      </w:pPr>
      <w:r w:rsidRPr="00C974DC">
        <w:rPr>
          <w:rFonts w:hAnsi="ＭＳ 明朝" w:hint="eastAsia"/>
          <w:szCs w:val="24"/>
        </w:rPr>
        <w:t>Ａ　＝地方債元利償還金に充てた一般財源（繰上償還等を除く。)</w:t>
      </w:r>
    </w:p>
    <w:p w:rsidR="00C974DC" w:rsidRPr="00C974DC" w:rsidRDefault="00C974DC" w:rsidP="00C974DC">
      <w:pPr>
        <w:kinsoku w:val="0"/>
        <w:overflowPunct w:val="0"/>
        <w:snapToGrid w:val="0"/>
        <w:spacing w:line="240" w:lineRule="auto"/>
        <w:ind w:hanging="1"/>
        <w:rPr>
          <w:rFonts w:hAnsi="ＭＳ 明朝"/>
          <w:szCs w:val="24"/>
        </w:rPr>
      </w:pPr>
      <w:r w:rsidRPr="00C974DC">
        <w:rPr>
          <w:rFonts w:hAnsi="ＭＳ 明朝" w:hint="eastAsia"/>
          <w:szCs w:val="24"/>
        </w:rPr>
        <w:t xml:space="preserve">　　　</w:t>
      </w:r>
      <w:r w:rsidR="00641CD0">
        <w:rPr>
          <w:rFonts w:hAnsi="ＭＳ 明朝"/>
          <w:noProof/>
          <w:szCs w:val="24"/>
        </w:rPr>
        <w:pict>
          <v:line id="_x0000_s1028" style="position:absolute;left:0;text-align:left;z-index:251660288;mso-wrap-style:tight;mso-position-horizontal-relative:text;mso-position-vertical-relative:text" from="283.7pt,61.35pt" to="310.7pt,61.35pt" strokecolor="white">
            <v:stroke endarrow="block"/>
          </v:line>
        </w:pict>
      </w:r>
      <w:r w:rsidRPr="00C974DC">
        <w:rPr>
          <w:rFonts w:hAnsi="ＭＳ 明朝" w:hint="eastAsia"/>
          <w:szCs w:val="24"/>
        </w:rPr>
        <w:t xml:space="preserve">　Ａ</w:t>
      </w:r>
      <w:r w:rsidRPr="00C974DC">
        <w:rPr>
          <w:rFonts w:hAnsi="ＭＳ 明朝"/>
          <w:szCs w:val="24"/>
        </w:rPr>
        <w:t>’</w:t>
      </w:r>
      <w:r w:rsidRPr="00C974DC">
        <w:rPr>
          <w:rFonts w:hAnsi="ＭＳ 明朝" w:hint="eastAsia"/>
          <w:szCs w:val="24"/>
        </w:rPr>
        <w:t>＝地方債元利償還金に準ずるものに充てた一般財源</w:t>
      </w:r>
    </w:p>
    <w:p w:rsidR="00C974DC" w:rsidRPr="00C974DC" w:rsidRDefault="00C974DC" w:rsidP="00C974DC">
      <w:pPr>
        <w:kinsoku w:val="0"/>
        <w:overflowPunct w:val="0"/>
        <w:snapToGrid w:val="0"/>
        <w:spacing w:line="240" w:lineRule="auto"/>
        <w:ind w:leftChars="400" w:left="1659" w:hangingChars="300" w:hanging="711"/>
        <w:rPr>
          <w:rFonts w:hAnsi="ＭＳ 明朝"/>
          <w:szCs w:val="24"/>
        </w:rPr>
      </w:pPr>
      <w:r w:rsidRPr="00C974DC">
        <w:rPr>
          <w:rFonts w:hAnsi="ＭＳ 明朝" w:hint="eastAsia"/>
          <w:szCs w:val="24"/>
        </w:rPr>
        <w:t>Ｂ　＝Ａ及びＡ</w:t>
      </w:r>
      <w:r w:rsidRPr="00C974DC">
        <w:rPr>
          <w:rFonts w:hAnsi="ＭＳ 明朝"/>
          <w:szCs w:val="24"/>
        </w:rPr>
        <w:t>’</w:t>
      </w:r>
      <w:r w:rsidRPr="00C974DC">
        <w:rPr>
          <w:rFonts w:hAnsi="ＭＳ 明朝" w:hint="eastAsia"/>
          <w:szCs w:val="24"/>
        </w:rPr>
        <w:t>に要する経費として基準財政需要額に算入された額並びに地方債元利償還金に充てた特定財源</w:t>
      </w:r>
    </w:p>
    <w:p w:rsidR="00C974DC" w:rsidRPr="00C974DC" w:rsidRDefault="00C974DC" w:rsidP="00C974DC">
      <w:pPr>
        <w:kinsoku w:val="0"/>
        <w:overflowPunct w:val="0"/>
        <w:snapToGrid w:val="0"/>
        <w:spacing w:line="240" w:lineRule="auto"/>
        <w:ind w:firstLineChars="400" w:firstLine="948"/>
        <w:rPr>
          <w:rFonts w:hAnsi="ＭＳ 明朝"/>
          <w:szCs w:val="24"/>
        </w:rPr>
      </w:pPr>
      <w:r w:rsidRPr="00C974DC">
        <w:rPr>
          <w:rFonts w:hAnsi="ＭＳ 明朝" w:hint="eastAsia"/>
          <w:szCs w:val="24"/>
        </w:rPr>
        <w:t>Ｂ</w:t>
      </w:r>
      <w:r w:rsidRPr="00C974DC">
        <w:rPr>
          <w:rFonts w:hAnsi="ＭＳ 明朝"/>
          <w:szCs w:val="24"/>
        </w:rPr>
        <w:t>’</w:t>
      </w:r>
      <w:r w:rsidRPr="00C974DC">
        <w:rPr>
          <w:rFonts w:hAnsi="ＭＳ 明朝" w:hint="eastAsia"/>
          <w:szCs w:val="24"/>
        </w:rPr>
        <w:t>＝Ａ及びＡ</w:t>
      </w:r>
      <w:r w:rsidRPr="00C974DC">
        <w:rPr>
          <w:rFonts w:hAnsi="ＭＳ 明朝"/>
          <w:szCs w:val="24"/>
        </w:rPr>
        <w:t>’</w:t>
      </w:r>
      <w:r w:rsidRPr="00C974DC">
        <w:rPr>
          <w:rFonts w:hAnsi="ＭＳ 明朝" w:hint="eastAsia"/>
          <w:szCs w:val="24"/>
        </w:rPr>
        <w:t>に要する経費として基準財政需要額に算入された額</w:t>
      </w:r>
    </w:p>
    <w:p w:rsidR="00C974DC" w:rsidRPr="00C974DC" w:rsidRDefault="00C974DC" w:rsidP="00C974DC">
      <w:pPr>
        <w:kinsoku w:val="0"/>
        <w:overflowPunct w:val="0"/>
        <w:snapToGrid w:val="0"/>
        <w:spacing w:line="240" w:lineRule="auto"/>
        <w:ind w:firstLineChars="400" w:firstLine="948"/>
        <w:rPr>
          <w:rFonts w:hAnsi="ＭＳ 明朝"/>
          <w:szCs w:val="24"/>
        </w:rPr>
      </w:pPr>
      <w:r w:rsidRPr="00C974DC">
        <w:rPr>
          <w:rFonts w:hAnsi="ＭＳ 明朝" w:hint="eastAsia"/>
          <w:szCs w:val="24"/>
        </w:rPr>
        <w:t>Ｃ　＝標準財政規模（臨時財政対策債発行可能額を含む。）</w:t>
      </w:r>
    </w:p>
    <w:p w:rsidR="00C974DC" w:rsidRPr="00C974DC" w:rsidRDefault="00C974DC" w:rsidP="00C974DC">
      <w:pPr>
        <w:kinsoku w:val="0"/>
        <w:overflowPunct w:val="0"/>
        <w:snapToGrid w:val="0"/>
        <w:spacing w:line="240" w:lineRule="auto"/>
        <w:ind w:firstLineChars="418" w:firstLine="990"/>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Pr="00C974DC" w:rsidRDefault="00C974DC" w:rsidP="00C974DC">
      <w:pPr>
        <w:spacing w:line="240" w:lineRule="auto"/>
        <w:rPr>
          <w:rFonts w:hAnsi="ＭＳ 明朝"/>
          <w:szCs w:val="24"/>
        </w:rPr>
      </w:pPr>
    </w:p>
    <w:p w:rsidR="00C974DC" w:rsidRDefault="00C974DC" w:rsidP="00C6011D">
      <w:pPr>
        <w:spacing w:line="240" w:lineRule="auto"/>
        <w:rPr>
          <w:rFonts w:hAnsi="ＭＳ 明朝"/>
          <w:szCs w:val="24"/>
        </w:rPr>
        <w:sectPr w:rsidR="00C974DC" w:rsidSect="00BB3C9C">
          <w:headerReference w:type="default" r:id="rId20"/>
          <w:pgSz w:w="11906" w:h="16838" w:code="9"/>
          <w:pgMar w:top="1134" w:right="1134" w:bottom="1134" w:left="1134" w:header="850" w:footer="340" w:gutter="0"/>
          <w:pgNumType w:fmt="numberInDash" w:start="9"/>
          <w:cols w:space="425"/>
          <w:docGrid w:type="linesAndChars" w:linePitch="360" w:charSpace="-626"/>
        </w:sectPr>
      </w:pPr>
    </w:p>
    <w:p w:rsidR="00C974DC" w:rsidRDefault="00C974DC" w:rsidP="00C974DC">
      <w:pPr>
        <w:kinsoku w:val="0"/>
        <w:overflowPunct w:val="0"/>
        <w:snapToGrid w:val="0"/>
        <w:spacing w:line="240" w:lineRule="auto"/>
        <w:ind w:firstLineChars="100" w:firstLine="240"/>
        <w:rPr>
          <w:rFonts w:ascii="ＭＳ ゴシック" w:eastAsia="ＭＳ ゴシック" w:hAnsi="ＭＳ ゴシック"/>
          <w:szCs w:val="24"/>
        </w:rPr>
      </w:pPr>
      <w:r w:rsidRPr="0015673B">
        <w:rPr>
          <w:rFonts w:ascii="ＭＳ ゴシック" w:eastAsia="ＭＳ ゴシック" w:hAnsi="ＭＳ ゴシック" w:hint="eastAsia"/>
          <w:szCs w:val="24"/>
        </w:rPr>
        <w:lastRenderedPageBreak/>
        <w:t>４　財政構造</w:t>
      </w:r>
      <w:r w:rsidRPr="0015673B">
        <w:rPr>
          <w:rFonts w:ascii="ＭＳ ゴシック" w:eastAsia="ＭＳ ゴシック" w:hAnsi="ＭＳ ゴシック" w:hint="eastAsia"/>
          <w:bCs/>
          <w:szCs w:val="24"/>
        </w:rPr>
        <w:t>（一般会計）</w:t>
      </w:r>
    </w:p>
    <w:p w:rsidR="00C974DC" w:rsidRPr="00257222" w:rsidRDefault="00C974DC" w:rsidP="00C974DC">
      <w:pPr>
        <w:kinsoku w:val="0"/>
        <w:overflowPunct w:val="0"/>
        <w:snapToGrid w:val="0"/>
        <w:spacing w:line="240" w:lineRule="auto"/>
        <w:ind w:leftChars="200" w:left="480" w:firstLineChars="100" w:firstLine="240"/>
        <w:rPr>
          <w:rFonts w:ascii="ＭＳ ゴシック" w:eastAsia="ＭＳ ゴシック" w:hAnsi="ＭＳ ゴシック"/>
          <w:szCs w:val="24"/>
        </w:rPr>
      </w:pPr>
      <w:r w:rsidRPr="0015673B">
        <w:rPr>
          <w:rFonts w:hAnsi="ＭＳ 明朝" w:hint="eastAsia"/>
          <w:szCs w:val="24"/>
        </w:rPr>
        <w:t>歳入財源別決算額をみると、自主財源は</w:t>
      </w:r>
      <w:r>
        <w:rPr>
          <w:rFonts w:hAnsi="ＭＳ 明朝" w:hint="eastAsia"/>
          <w:szCs w:val="24"/>
        </w:rPr>
        <w:t>35,974,847</w:t>
      </w:r>
      <w:r w:rsidRPr="0015673B">
        <w:rPr>
          <w:rFonts w:hAnsi="ＭＳ 明朝" w:hint="eastAsia"/>
          <w:szCs w:val="24"/>
        </w:rPr>
        <w:t>千円</w:t>
      </w:r>
      <w:bookmarkStart w:id="6" w:name="_GoBack"/>
      <w:bookmarkEnd w:id="6"/>
      <w:r w:rsidRPr="0015673B">
        <w:rPr>
          <w:rFonts w:hAnsi="ＭＳ 明朝" w:hint="eastAsia"/>
          <w:szCs w:val="24"/>
        </w:rPr>
        <w:t>で前年度に比べ</w:t>
      </w:r>
      <w:r>
        <w:rPr>
          <w:rFonts w:hAnsi="ＭＳ 明朝" w:hint="eastAsia"/>
          <w:szCs w:val="24"/>
        </w:rPr>
        <w:t>2,430,846</w:t>
      </w:r>
      <w:r w:rsidRPr="0015673B">
        <w:rPr>
          <w:rFonts w:hAnsi="ＭＳ 明朝" w:hint="eastAsia"/>
          <w:szCs w:val="24"/>
        </w:rPr>
        <w:t>千円(</w:t>
      </w:r>
      <w:r>
        <w:rPr>
          <w:rFonts w:hAnsi="ＭＳ 明朝" w:hint="eastAsia"/>
          <w:szCs w:val="24"/>
        </w:rPr>
        <w:t>7.2</w:t>
      </w:r>
      <w:r w:rsidRPr="0015673B">
        <w:rPr>
          <w:rFonts w:hAnsi="ＭＳ 明朝" w:hint="eastAsia"/>
          <w:szCs w:val="24"/>
        </w:rPr>
        <w:t>％)</w:t>
      </w:r>
      <w:r>
        <w:rPr>
          <w:rFonts w:hAnsi="ＭＳ 明朝" w:hint="eastAsia"/>
          <w:szCs w:val="24"/>
        </w:rPr>
        <w:t>増加</w:t>
      </w:r>
      <w:r w:rsidRPr="0015673B">
        <w:rPr>
          <w:rFonts w:hAnsi="ＭＳ 明朝" w:hint="eastAsia"/>
          <w:szCs w:val="24"/>
        </w:rPr>
        <w:t>し、歳入全体に占める割合は</w:t>
      </w:r>
      <w:r>
        <w:rPr>
          <w:rFonts w:hAnsi="ＭＳ 明朝" w:hint="eastAsia"/>
          <w:szCs w:val="24"/>
        </w:rPr>
        <w:t>49.1</w:t>
      </w:r>
      <w:r w:rsidRPr="0015673B">
        <w:rPr>
          <w:rFonts w:hAnsi="ＭＳ 明朝" w:hint="eastAsia"/>
          <w:szCs w:val="24"/>
        </w:rPr>
        <w:t>％となっている。</w:t>
      </w:r>
    </w:p>
    <w:p w:rsidR="00C974DC" w:rsidRPr="0015673B" w:rsidRDefault="00C974DC" w:rsidP="00C974DC">
      <w:pPr>
        <w:snapToGrid w:val="0"/>
        <w:spacing w:line="240" w:lineRule="auto"/>
        <w:ind w:leftChars="200" w:left="480" w:firstLineChars="100" w:firstLine="240"/>
        <w:rPr>
          <w:rFonts w:hAnsi="ＭＳ 明朝"/>
          <w:szCs w:val="24"/>
        </w:rPr>
      </w:pPr>
      <w:r w:rsidRPr="0015673B">
        <w:rPr>
          <w:rFonts w:hAnsi="ＭＳ 明朝" w:hint="eastAsia"/>
          <w:szCs w:val="24"/>
        </w:rPr>
        <w:t xml:space="preserve">また、依存財源は </w:t>
      </w:r>
      <w:r>
        <w:rPr>
          <w:rFonts w:hAnsi="ＭＳ 明朝" w:hint="eastAsia"/>
          <w:szCs w:val="24"/>
        </w:rPr>
        <w:t>37,269,952</w:t>
      </w:r>
      <w:r w:rsidRPr="0015673B">
        <w:rPr>
          <w:rFonts w:hAnsi="ＭＳ 明朝" w:hint="eastAsia"/>
          <w:szCs w:val="24"/>
        </w:rPr>
        <w:t>千円で、前年度に比べ</w:t>
      </w:r>
      <w:r>
        <w:rPr>
          <w:rFonts w:hAnsi="ＭＳ 明朝" w:hint="eastAsia"/>
          <w:szCs w:val="24"/>
        </w:rPr>
        <w:t>1,276,408</w:t>
      </w:r>
      <w:r w:rsidRPr="0015673B">
        <w:rPr>
          <w:rFonts w:hAnsi="ＭＳ 明朝" w:hint="eastAsia"/>
          <w:szCs w:val="24"/>
        </w:rPr>
        <w:t>千円(</w:t>
      </w:r>
      <w:r>
        <w:rPr>
          <w:rFonts w:hAnsi="ＭＳ 明朝" w:hint="eastAsia"/>
          <w:szCs w:val="24"/>
        </w:rPr>
        <w:t>3.5</w:t>
      </w:r>
      <w:r w:rsidRPr="0015673B">
        <w:rPr>
          <w:rFonts w:hAnsi="ＭＳ 明朝" w:hint="eastAsia"/>
          <w:szCs w:val="24"/>
        </w:rPr>
        <w:t>％)</w:t>
      </w:r>
      <w:r>
        <w:rPr>
          <w:rFonts w:hAnsi="ＭＳ 明朝" w:hint="eastAsia"/>
          <w:szCs w:val="24"/>
        </w:rPr>
        <w:t>増加</w:t>
      </w:r>
      <w:r w:rsidRPr="0015673B">
        <w:rPr>
          <w:rFonts w:hAnsi="ＭＳ 明朝" w:hint="eastAsia"/>
          <w:szCs w:val="24"/>
        </w:rPr>
        <w:t>し、歳入全体に占める割合は</w:t>
      </w:r>
      <w:r>
        <w:rPr>
          <w:rFonts w:hAnsi="ＭＳ 明朝" w:hint="eastAsia"/>
          <w:szCs w:val="24"/>
        </w:rPr>
        <w:t>50.9</w:t>
      </w:r>
      <w:r w:rsidRPr="0015673B">
        <w:rPr>
          <w:rFonts w:hAnsi="ＭＳ 明朝" w:hint="eastAsia"/>
          <w:szCs w:val="24"/>
        </w:rPr>
        <w:t>％となっている。</w:t>
      </w:r>
    </w:p>
    <w:p w:rsidR="00C974DC" w:rsidRPr="00710D72" w:rsidRDefault="00C974DC" w:rsidP="00C974DC">
      <w:pPr>
        <w:snapToGrid w:val="0"/>
        <w:spacing w:line="240" w:lineRule="auto"/>
        <w:rPr>
          <w:rFonts w:hAnsi="ＭＳ 明朝"/>
          <w:szCs w:val="24"/>
        </w:rPr>
      </w:pPr>
    </w:p>
    <w:p w:rsidR="00C974DC" w:rsidRPr="00DF4174" w:rsidRDefault="00C974DC" w:rsidP="00C974DC">
      <w:pPr>
        <w:snapToGrid w:val="0"/>
        <w:spacing w:line="240" w:lineRule="auto"/>
        <w:ind w:firstLineChars="100" w:firstLine="240"/>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一般会計歳入財源別決算額表</w:t>
      </w:r>
      <w:r>
        <w:rPr>
          <w:rFonts w:ascii="ＭＳ ゴシック" w:eastAsia="ＭＳ ゴシック" w:hAnsi="ＭＳ ゴシック" w:hint="eastAsia"/>
          <w:snapToGrid w:val="0"/>
          <w:szCs w:val="24"/>
        </w:rPr>
        <w:t xml:space="preserve">　　</w:t>
      </w:r>
    </w:p>
    <w:p w:rsidR="00C974DC" w:rsidRPr="0015673B" w:rsidRDefault="00C974DC" w:rsidP="00C974DC">
      <w:pPr>
        <w:spacing w:line="240" w:lineRule="auto"/>
        <w:ind w:firstLineChars="3100" w:firstLine="7440"/>
        <w:rPr>
          <w:rFonts w:hAnsi="ＭＳ 明朝"/>
          <w:szCs w:val="24"/>
        </w:rPr>
      </w:pPr>
      <w:r>
        <w:rPr>
          <w:rFonts w:hAnsi="ＭＳ 明朝" w:hint="eastAsia"/>
          <w:szCs w:val="24"/>
        </w:rPr>
        <w:t>（単位：千円・％）</w:t>
      </w:r>
    </w:p>
    <w:bookmarkStart w:id="7" w:name="_MON_1438515335"/>
    <w:bookmarkEnd w:id="7"/>
    <w:p w:rsidR="00C974DC" w:rsidRDefault="00C974DC" w:rsidP="00C974DC">
      <w:r>
        <w:object w:dxaOrig="10109" w:dyaOrig="11477">
          <v:shape id="_x0000_i1031" type="#_x0000_t75" style="width:494.8pt;height:559.3pt" o:ole="">
            <v:imagedata r:id="rId21" o:title=""/>
          </v:shape>
          <o:OLEObject Type="Embed" ProgID="Excel.Sheet.12" ShapeID="_x0000_i1031" DrawAspect="Content" ObjectID="_1568631031" r:id="rId22"/>
        </w:object>
      </w:r>
    </w:p>
    <w:p w:rsidR="00C974DC" w:rsidRPr="00257222" w:rsidRDefault="00C974DC" w:rsidP="00C974DC">
      <w:pPr>
        <w:kinsoku w:val="0"/>
        <w:overflowPunct w:val="0"/>
        <w:snapToGrid w:val="0"/>
        <w:spacing w:line="240" w:lineRule="auto"/>
        <w:ind w:leftChars="200" w:left="480" w:firstLineChars="100" w:firstLine="240"/>
        <w:rPr>
          <w:rFonts w:hAnsi="ＭＳ 明朝"/>
          <w:szCs w:val="24"/>
        </w:rPr>
      </w:pPr>
      <w:r w:rsidRPr="00257222">
        <w:rPr>
          <w:rFonts w:hAnsi="ＭＳ 明朝" w:hint="eastAsia"/>
          <w:szCs w:val="24"/>
        </w:rPr>
        <w:lastRenderedPageBreak/>
        <w:t>次に、歳出性質別決算額をみると、義務的経費は</w:t>
      </w:r>
      <w:r>
        <w:rPr>
          <w:rFonts w:hAnsi="ＭＳ 明朝" w:hint="eastAsia"/>
          <w:szCs w:val="24"/>
        </w:rPr>
        <w:t>33,593,349</w:t>
      </w:r>
      <w:r w:rsidRPr="00257222">
        <w:rPr>
          <w:rFonts w:hAnsi="ＭＳ 明朝" w:hint="eastAsia"/>
          <w:szCs w:val="24"/>
        </w:rPr>
        <w:t>千円で前年度に比べ</w:t>
      </w:r>
      <w:r>
        <w:rPr>
          <w:rFonts w:hAnsi="ＭＳ 明朝" w:hint="eastAsia"/>
          <w:szCs w:val="24"/>
        </w:rPr>
        <w:t>924,359</w:t>
      </w:r>
      <w:r w:rsidRPr="00257222">
        <w:rPr>
          <w:rFonts w:hAnsi="ＭＳ 明朝" w:hint="eastAsia"/>
          <w:szCs w:val="24"/>
        </w:rPr>
        <w:t>千円(</w:t>
      </w:r>
      <w:r>
        <w:rPr>
          <w:rFonts w:hAnsi="ＭＳ 明朝" w:hint="eastAsia"/>
          <w:szCs w:val="24"/>
        </w:rPr>
        <w:t>2.8</w:t>
      </w:r>
      <w:r w:rsidRPr="00257222">
        <w:rPr>
          <w:rFonts w:hAnsi="ＭＳ 明朝" w:hint="eastAsia"/>
          <w:szCs w:val="24"/>
        </w:rPr>
        <w:t>％)</w:t>
      </w:r>
      <w:r>
        <w:rPr>
          <w:rFonts w:hAnsi="ＭＳ 明朝" w:hint="eastAsia"/>
          <w:szCs w:val="24"/>
        </w:rPr>
        <w:t>増加</w:t>
      </w:r>
      <w:r w:rsidRPr="00257222">
        <w:rPr>
          <w:rFonts w:hAnsi="ＭＳ 明朝" w:hint="eastAsia"/>
          <w:szCs w:val="24"/>
        </w:rPr>
        <w:t>し、歳出全体に占める割合は</w:t>
      </w:r>
      <w:r>
        <w:rPr>
          <w:rFonts w:hAnsi="ＭＳ 明朝" w:hint="eastAsia"/>
          <w:szCs w:val="24"/>
        </w:rPr>
        <w:t>46.2</w:t>
      </w:r>
      <w:r w:rsidRPr="00257222">
        <w:rPr>
          <w:rFonts w:hAnsi="ＭＳ 明朝" w:hint="eastAsia"/>
          <w:szCs w:val="24"/>
        </w:rPr>
        <w:t>％で</w:t>
      </w:r>
      <w:r>
        <w:rPr>
          <w:rFonts w:hAnsi="ＭＳ 明朝" w:hint="eastAsia"/>
          <w:szCs w:val="24"/>
        </w:rPr>
        <w:t>1.5</w:t>
      </w:r>
      <w:r w:rsidRPr="00257222">
        <w:rPr>
          <w:rFonts w:hAnsi="ＭＳ 明朝" w:hint="eastAsia"/>
          <w:szCs w:val="24"/>
        </w:rPr>
        <w:t>ポイント</w:t>
      </w:r>
      <w:r>
        <w:rPr>
          <w:rFonts w:hAnsi="ＭＳ 明朝" w:hint="eastAsia"/>
          <w:szCs w:val="24"/>
        </w:rPr>
        <w:t>下降</w:t>
      </w:r>
      <w:r w:rsidRPr="00257222">
        <w:rPr>
          <w:rFonts w:hAnsi="ＭＳ 明朝" w:hint="eastAsia"/>
          <w:szCs w:val="24"/>
        </w:rPr>
        <w:t>している。</w:t>
      </w:r>
    </w:p>
    <w:p w:rsidR="00C974DC" w:rsidRPr="00257222" w:rsidRDefault="00C974DC" w:rsidP="00C974DC">
      <w:pPr>
        <w:snapToGrid w:val="0"/>
        <w:spacing w:line="240" w:lineRule="auto"/>
        <w:ind w:leftChars="200" w:left="480" w:firstLineChars="100" w:firstLine="240"/>
        <w:rPr>
          <w:rFonts w:hAnsi="ＭＳ 明朝"/>
          <w:szCs w:val="24"/>
        </w:rPr>
      </w:pPr>
      <w:r w:rsidRPr="00257222">
        <w:rPr>
          <w:rFonts w:hAnsi="ＭＳ 明朝" w:hint="eastAsia"/>
          <w:szCs w:val="24"/>
        </w:rPr>
        <w:t>投資的経費は</w:t>
      </w:r>
      <w:r>
        <w:rPr>
          <w:rFonts w:hAnsi="ＭＳ 明朝" w:hint="eastAsia"/>
          <w:szCs w:val="24"/>
        </w:rPr>
        <w:t>12,118,226千円で、前年度に</w:t>
      </w:r>
      <w:r w:rsidRPr="00257222">
        <w:rPr>
          <w:rFonts w:hAnsi="ＭＳ 明朝" w:hint="eastAsia"/>
          <w:szCs w:val="24"/>
        </w:rPr>
        <w:t>比べ</w:t>
      </w:r>
      <w:r>
        <w:rPr>
          <w:rFonts w:hAnsi="ＭＳ 明朝" w:hint="eastAsia"/>
          <w:szCs w:val="24"/>
        </w:rPr>
        <w:t>2,773,987</w:t>
      </w:r>
      <w:r w:rsidRPr="00257222">
        <w:rPr>
          <w:rFonts w:hAnsi="ＭＳ 明朝" w:hint="eastAsia"/>
          <w:szCs w:val="24"/>
        </w:rPr>
        <w:t>千円(</w:t>
      </w:r>
      <w:r>
        <w:rPr>
          <w:rFonts w:hAnsi="ＭＳ 明朝" w:hint="eastAsia"/>
          <w:szCs w:val="24"/>
        </w:rPr>
        <w:t>29.7</w:t>
      </w:r>
      <w:r w:rsidRPr="00257222">
        <w:rPr>
          <w:rFonts w:hAnsi="ＭＳ 明朝" w:hint="eastAsia"/>
          <w:szCs w:val="24"/>
        </w:rPr>
        <w:t>％)</w:t>
      </w:r>
      <w:r>
        <w:rPr>
          <w:rFonts w:hAnsi="ＭＳ 明朝" w:hint="eastAsia"/>
          <w:szCs w:val="24"/>
        </w:rPr>
        <w:t>増加</w:t>
      </w:r>
      <w:r w:rsidRPr="00257222">
        <w:rPr>
          <w:rFonts w:hAnsi="ＭＳ 明朝" w:hint="eastAsia"/>
          <w:szCs w:val="24"/>
        </w:rPr>
        <w:t>し、歳出全体に占める割合は</w:t>
      </w:r>
      <w:r>
        <w:rPr>
          <w:rFonts w:hAnsi="ＭＳ 明朝" w:hint="eastAsia"/>
          <w:szCs w:val="24"/>
        </w:rPr>
        <w:t>16.7</w:t>
      </w:r>
      <w:r w:rsidRPr="00257222">
        <w:rPr>
          <w:rFonts w:hAnsi="ＭＳ 明朝" w:hint="eastAsia"/>
          <w:szCs w:val="24"/>
        </w:rPr>
        <w:t>％で</w:t>
      </w:r>
      <w:r>
        <w:rPr>
          <w:rFonts w:hAnsi="ＭＳ 明朝" w:hint="eastAsia"/>
          <w:szCs w:val="24"/>
        </w:rPr>
        <w:t>3.0</w:t>
      </w:r>
      <w:r w:rsidRPr="00257222">
        <w:rPr>
          <w:rFonts w:hAnsi="ＭＳ 明朝" w:hint="eastAsia"/>
          <w:szCs w:val="24"/>
        </w:rPr>
        <w:t>ポイント</w:t>
      </w:r>
      <w:r>
        <w:rPr>
          <w:rFonts w:hAnsi="ＭＳ 明朝" w:hint="eastAsia"/>
          <w:szCs w:val="24"/>
        </w:rPr>
        <w:t>上昇</w:t>
      </w:r>
      <w:r w:rsidRPr="00257222">
        <w:rPr>
          <w:rFonts w:hAnsi="ＭＳ 明朝" w:hint="eastAsia"/>
          <w:szCs w:val="24"/>
        </w:rPr>
        <w:t>している。</w:t>
      </w:r>
    </w:p>
    <w:p w:rsidR="00C974DC" w:rsidRPr="00257222" w:rsidRDefault="00C974DC" w:rsidP="00C974DC">
      <w:pPr>
        <w:snapToGrid w:val="0"/>
        <w:spacing w:line="240" w:lineRule="auto"/>
        <w:ind w:leftChars="200" w:left="480" w:firstLineChars="100" w:firstLine="240"/>
        <w:rPr>
          <w:rFonts w:hAnsi="ＭＳ 明朝"/>
          <w:szCs w:val="24"/>
        </w:rPr>
      </w:pPr>
      <w:r w:rsidRPr="00113283">
        <w:rPr>
          <w:rFonts w:hAnsi="ＭＳ 明朝" w:hint="eastAsia"/>
          <w:szCs w:val="24"/>
        </w:rPr>
        <w:t>その他の経費は</w:t>
      </w:r>
      <w:r>
        <w:rPr>
          <w:rFonts w:hAnsi="ＭＳ 明朝" w:hint="eastAsia"/>
          <w:szCs w:val="24"/>
        </w:rPr>
        <w:t>26,913,434</w:t>
      </w:r>
      <w:r w:rsidRPr="00113283">
        <w:rPr>
          <w:rFonts w:hAnsi="ＭＳ 明朝" w:hint="eastAsia"/>
          <w:szCs w:val="24"/>
        </w:rPr>
        <w:t>千円で、前年度に比べ</w:t>
      </w:r>
      <w:r>
        <w:rPr>
          <w:rFonts w:hAnsi="ＭＳ 明朝" w:hint="eastAsia"/>
          <w:szCs w:val="24"/>
        </w:rPr>
        <w:t>470,092</w:t>
      </w:r>
      <w:r w:rsidRPr="00113283">
        <w:rPr>
          <w:rFonts w:hAnsi="ＭＳ 明朝" w:hint="eastAsia"/>
          <w:szCs w:val="24"/>
        </w:rPr>
        <w:t>千円(</w:t>
      </w:r>
      <w:r>
        <w:rPr>
          <w:rFonts w:hAnsi="ＭＳ 明朝" w:hint="eastAsia"/>
          <w:szCs w:val="24"/>
        </w:rPr>
        <w:t>1.8</w:t>
      </w:r>
      <w:r w:rsidRPr="00113283">
        <w:rPr>
          <w:rFonts w:hAnsi="ＭＳ 明朝" w:hint="eastAsia"/>
          <w:szCs w:val="24"/>
        </w:rPr>
        <w:t>％)</w:t>
      </w:r>
      <w:r>
        <w:rPr>
          <w:rFonts w:hAnsi="ＭＳ 明朝" w:hint="eastAsia"/>
          <w:szCs w:val="24"/>
        </w:rPr>
        <w:t>増加</w:t>
      </w:r>
      <w:r w:rsidRPr="00113283">
        <w:rPr>
          <w:rFonts w:hAnsi="ＭＳ 明朝" w:hint="eastAsia"/>
          <w:szCs w:val="24"/>
        </w:rPr>
        <w:t>し</w:t>
      </w:r>
      <w:r>
        <w:rPr>
          <w:rFonts w:hAnsi="ＭＳ 明朝" w:hint="eastAsia"/>
          <w:szCs w:val="24"/>
        </w:rPr>
        <w:t>、</w:t>
      </w:r>
      <w:r w:rsidRPr="00257222">
        <w:rPr>
          <w:rFonts w:hAnsi="ＭＳ 明朝" w:hint="eastAsia"/>
          <w:szCs w:val="24"/>
        </w:rPr>
        <w:t>歳出全体に占める割合は</w:t>
      </w:r>
      <w:r>
        <w:rPr>
          <w:rFonts w:hAnsi="ＭＳ 明朝" w:hint="eastAsia"/>
          <w:szCs w:val="24"/>
        </w:rPr>
        <w:t>37.1</w:t>
      </w:r>
      <w:r w:rsidRPr="00257222">
        <w:rPr>
          <w:rFonts w:hAnsi="ＭＳ 明朝" w:hint="eastAsia"/>
          <w:szCs w:val="24"/>
        </w:rPr>
        <w:t>％で</w:t>
      </w:r>
      <w:r>
        <w:rPr>
          <w:rFonts w:hAnsi="ＭＳ 明朝" w:hint="eastAsia"/>
          <w:szCs w:val="24"/>
        </w:rPr>
        <w:t>1.5</w:t>
      </w:r>
      <w:r w:rsidRPr="00257222">
        <w:rPr>
          <w:rFonts w:hAnsi="ＭＳ 明朝" w:hint="eastAsia"/>
          <w:szCs w:val="24"/>
        </w:rPr>
        <w:t>ポイント</w:t>
      </w:r>
      <w:r>
        <w:rPr>
          <w:rFonts w:hAnsi="ＭＳ 明朝" w:hint="eastAsia"/>
          <w:szCs w:val="24"/>
        </w:rPr>
        <w:t>下降し</w:t>
      </w:r>
      <w:r w:rsidRPr="00257222">
        <w:rPr>
          <w:rFonts w:hAnsi="ＭＳ 明朝" w:hint="eastAsia"/>
          <w:szCs w:val="24"/>
        </w:rPr>
        <w:t>ている。</w:t>
      </w:r>
    </w:p>
    <w:p w:rsidR="00C974DC" w:rsidRPr="000054BF" w:rsidRDefault="00C974DC" w:rsidP="00C974DC">
      <w:pPr>
        <w:snapToGrid w:val="0"/>
        <w:spacing w:line="240" w:lineRule="auto"/>
        <w:ind w:left="720" w:hangingChars="300" w:hanging="720"/>
        <w:rPr>
          <w:rFonts w:hAnsi="ＭＳ 明朝"/>
          <w:szCs w:val="24"/>
        </w:rPr>
      </w:pPr>
    </w:p>
    <w:p w:rsidR="00C974DC" w:rsidRPr="00DF4174" w:rsidRDefault="00C974DC" w:rsidP="00C974DC">
      <w:pPr>
        <w:snapToGrid w:val="0"/>
        <w:spacing w:line="240" w:lineRule="auto"/>
        <w:ind w:firstLineChars="100" w:firstLine="240"/>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一般会計歳出性質別決算額表</w:t>
      </w:r>
    </w:p>
    <w:p w:rsidR="00C974DC" w:rsidRPr="00257222" w:rsidRDefault="00C974DC" w:rsidP="00C974DC">
      <w:pPr>
        <w:spacing w:line="240" w:lineRule="auto"/>
        <w:ind w:firstLineChars="3100" w:firstLine="7440"/>
        <w:rPr>
          <w:rFonts w:hAnsi="ＭＳ 明朝"/>
          <w:szCs w:val="24"/>
        </w:rPr>
      </w:pPr>
      <w:r>
        <w:rPr>
          <w:rFonts w:hAnsi="ＭＳ 明朝" w:hint="eastAsia"/>
          <w:szCs w:val="24"/>
        </w:rPr>
        <w:t>（単位：千円・％）</w:t>
      </w:r>
    </w:p>
    <w:bookmarkStart w:id="8" w:name="_MON_1438520423"/>
    <w:bookmarkEnd w:id="8"/>
    <w:p w:rsidR="00C974DC" w:rsidRDefault="00C974DC" w:rsidP="00C974DC">
      <w:pPr>
        <w:spacing w:line="240" w:lineRule="auto"/>
      </w:pPr>
      <w:r w:rsidRPr="00A57AD1">
        <w:rPr>
          <w:rFonts w:hAnsi="ＭＳ 明朝"/>
          <w:szCs w:val="24"/>
        </w:rPr>
        <w:object w:dxaOrig="9456" w:dyaOrig="10348">
          <v:shape id="_x0000_i1032" type="#_x0000_t75" style="width:479.8pt;height:519pt" o:ole="">
            <v:imagedata r:id="rId23" o:title=""/>
          </v:shape>
          <o:OLEObject Type="Embed" ProgID="Excel.Sheet.12" ShapeID="_x0000_i1032" DrawAspect="Content" ObjectID="_1568631032" r:id="rId24"/>
        </w:object>
      </w:r>
    </w:p>
    <w:p w:rsidR="00C6011D" w:rsidRDefault="00C6011D" w:rsidP="00C6011D">
      <w:pPr>
        <w:spacing w:line="240" w:lineRule="auto"/>
        <w:rPr>
          <w:rFonts w:hAnsi="ＭＳ 明朝"/>
          <w:szCs w:val="24"/>
        </w:rPr>
      </w:pPr>
    </w:p>
    <w:p w:rsidR="00C974DC" w:rsidRDefault="00C974DC" w:rsidP="00C6011D">
      <w:pPr>
        <w:spacing w:line="240" w:lineRule="auto"/>
        <w:rPr>
          <w:rFonts w:hAnsi="ＭＳ 明朝"/>
          <w:szCs w:val="24"/>
        </w:rPr>
      </w:pPr>
    </w:p>
    <w:p w:rsidR="00C974DC" w:rsidRPr="00C6011D" w:rsidRDefault="00C974DC" w:rsidP="00C6011D">
      <w:pPr>
        <w:spacing w:line="240" w:lineRule="auto"/>
        <w:rPr>
          <w:rFonts w:hAnsi="ＭＳ 明朝"/>
          <w:szCs w:val="24"/>
        </w:rPr>
      </w:pPr>
    </w:p>
    <w:sectPr w:rsidR="00C974DC" w:rsidRPr="00C6011D" w:rsidSect="00BB3C9C">
      <w:pgSz w:w="11906" w:h="16838" w:code="9"/>
      <w:pgMar w:top="1134" w:right="1134" w:bottom="1134" w:left="1134" w:header="851" w:footer="340" w:gutter="0"/>
      <w:pgNumType w:fmt="numberInDash"/>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C9C" w:rsidRDefault="00BB3C9C" w:rsidP="00E94662">
      <w:pPr>
        <w:spacing w:line="240" w:lineRule="auto"/>
      </w:pPr>
      <w:r>
        <w:separator/>
      </w:r>
    </w:p>
  </w:endnote>
  <w:endnote w:type="continuationSeparator" w:id="0">
    <w:p w:rsidR="00BB3C9C" w:rsidRDefault="00BB3C9C" w:rsidP="00E946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9726"/>
      <w:docPartObj>
        <w:docPartGallery w:val="Page Numbers (Bottom of Page)"/>
        <w:docPartUnique/>
      </w:docPartObj>
    </w:sdtPr>
    <w:sdtContent>
      <w:p w:rsidR="00BB3C9C" w:rsidRDefault="00641CD0">
        <w:pPr>
          <w:pStyle w:val="a6"/>
          <w:jc w:val="center"/>
        </w:pPr>
        <w:r>
          <w:fldChar w:fldCharType="begin"/>
        </w:r>
        <w:r w:rsidR="00BB3C9C">
          <w:instrText xml:space="preserve"> PAGE   \* MERGEFORMAT </w:instrText>
        </w:r>
        <w:r>
          <w:fldChar w:fldCharType="separate"/>
        </w:r>
        <w:r w:rsidR="005D4F2C" w:rsidRPr="005D4F2C">
          <w:rPr>
            <w:noProof/>
            <w:lang w:val="ja-JP"/>
          </w:rPr>
          <w:t>-</w:t>
        </w:r>
        <w:r w:rsidR="005D4F2C">
          <w:rPr>
            <w:noProof/>
          </w:rPr>
          <w:t xml:space="preserve"> 14 -</w:t>
        </w:r>
        <w:r>
          <w:fldChar w:fldCharType="end"/>
        </w:r>
      </w:p>
    </w:sdtContent>
  </w:sdt>
  <w:p w:rsidR="00BB3C9C" w:rsidRDefault="00BB3C9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C9C" w:rsidRDefault="00BB3C9C" w:rsidP="00E94662">
      <w:pPr>
        <w:spacing w:line="240" w:lineRule="auto"/>
      </w:pPr>
      <w:r>
        <w:separator/>
      </w:r>
    </w:p>
  </w:footnote>
  <w:footnote w:type="continuationSeparator" w:id="0">
    <w:p w:rsidR="00BB3C9C" w:rsidRDefault="00BB3C9C" w:rsidP="00E946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C9C" w:rsidRDefault="00BB3C9C" w:rsidP="00BB3C9C">
    <w:pPr>
      <w:pStyle w:val="a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dirty"/>
  <w:defaultTabStop w:val="840"/>
  <w:drawingGridHorizontalSpacing w:val="237"/>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011D"/>
    <w:rsid w:val="000C5770"/>
    <w:rsid w:val="0015070D"/>
    <w:rsid w:val="00241DC4"/>
    <w:rsid w:val="00326ED0"/>
    <w:rsid w:val="003549FE"/>
    <w:rsid w:val="003844C4"/>
    <w:rsid w:val="00447A48"/>
    <w:rsid w:val="0046642F"/>
    <w:rsid w:val="00470E1C"/>
    <w:rsid w:val="00483C90"/>
    <w:rsid w:val="004973EC"/>
    <w:rsid w:val="004F6026"/>
    <w:rsid w:val="00524879"/>
    <w:rsid w:val="00545DE2"/>
    <w:rsid w:val="0058765C"/>
    <w:rsid w:val="005D4F2C"/>
    <w:rsid w:val="0060770B"/>
    <w:rsid w:val="00614BC1"/>
    <w:rsid w:val="00641CD0"/>
    <w:rsid w:val="00666725"/>
    <w:rsid w:val="006740CF"/>
    <w:rsid w:val="006A6585"/>
    <w:rsid w:val="006B2866"/>
    <w:rsid w:val="006E3EC1"/>
    <w:rsid w:val="00736FC7"/>
    <w:rsid w:val="00750F84"/>
    <w:rsid w:val="0076179B"/>
    <w:rsid w:val="00767CC8"/>
    <w:rsid w:val="00776F92"/>
    <w:rsid w:val="007865F9"/>
    <w:rsid w:val="007A3425"/>
    <w:rsid w:val="007E6FF8"/>
    <w:rsid w:val="007E78BC"/>
    <w:rsid w:val="007F3251"/>
    <w:rsid w:val="00834530"/>
    <w:rsid w:val="00836AE0"/>
    <w:rsid w:val="008423FF"/>
    <w:rsid w:val="008E3236"/>
    <w:rsid w:val="009346A0"/>
    <w:rsid w:val="00941A65"/>
    <w:rsid w:val="00973A7D"/>
    <w:rsid w:val="009D404C"/>
    <w:rsid w:val="00A33A5C"/>
    <w:rsid w:val="00A56050"/>
    <w:rsid w:val="00AF41EF"/>
    <w:rsid w:val="00B909B7"/>
    <w:rsid w:val="00BB3C9C"/>
    <w:rsid w:val="00BD4BD4"/>
    <w:rsid w:val="00BF0467"/>
    <w:rsid w:val="00C037B1"/>
    <w:rsid w:val="00C1585C"/>
    <w:rsid w:val="00C4503A"/>
    <w:rsid w:val="00C6011D"/>
    <w:rsid w:val="00C936B9"/>
    <w:rsid w:val="00C974DC"/>
    <w:rsid w:val="00CD4E01"/>
    <w:rsid w:val="00D02557"/>
    <w:rsid w:val="00D12437"/>
    <w:rsid w:val="00D43035"/>
    <w:rsid w:val="00D470AB"/>
    <w:rsid w:val="00D473CF"/>
    <w:rsid w:val="00D737A6"/>
    <w:rsid w:val="00D80429"/>
    <w:rsid w:val="00E71FEC"/>
    <w:rsid w:val="00E7433F"/>
    <w:rsid w:val="00E94662"/>
    <w:rsid w:val="00EE7AAC"/>
    <w:rsid w:val="00F35FE6"/>
    <w:rsid w:val="00F9692B"/>
    <w:rsid w:val="00FC62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E94662"/>
    <w:pPr>
      <w:tabs>
        <w:tab w:val="center" w:pos="4252"/>
        <w:tab w:val="right" w:pos="8504"/>
      </w:tabs>
      <w:snapToGrid w:val="0"/>
    </w:pPr>
  </w:style>
  <w:style w:type="character" w:customStyle="1" w:styleId="a5">
    <w:name w:val="ヘッダー (文字)"/>
    <w:basedOn w:val="a0"/>
    <w:link w:val="a4"/>
    <w:uiPriority w:val="99"/>
    <w:semiHidden/>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package" Target="embeddings/Microsoft_Office_Excel_______3.xlsx"/><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package" Target="embeddings/Microsoft_Office_Excel_______5.xlsx"/><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Office_Excel_______2.xlsx"/><Relationship Id="rId24" Type="http://schemas.openxmlformats.org/officeDocument/2006/relationships/package" Target="embeddings/Microsoft_Office_Excel_______8.xlsx"/><Relationship Id="rId5" Type="http://schemas.openxmlformats.org/officeDocument/2006/relationships/footnotes" Target="footnotes.xml"/><Relationship Id="rId15" Type="http://schemas.openxmlformats.org/officeDocument/2006/relationships/package" Target="embeddings/Microsoft_Office_Excel_______4.xlsx"/><Relationship Id="rId23" Type="http://schemas.openxmlformats.org/officeDocument/2006/relationships/image" Target="media/image8.emf"/><Relationship Id="rId10" Type="http://schemas.openxmlformats.org/officeDocument/2006/relationships/image" Target="media/image2.emf"/><Relationship Id="rId19" Type="http://schemas.openxmlformats.org/officeDocument/2006/relationships/package" Target="embeddings/Microsoft_Office_Excel_______6.xlsx"/><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package" Target="embeddings/Microsoft_Office_Excel_______7.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7</cp:revision>
  <cp:lastPrinted>2014-08-11T04:26:00Z</cp:lastPrinted>
  <dcterms:created xsi:type="dcterms:W3CDTF">2016-07-27T23:43:00Z</dcterms:created>
  <dcterms:modified xsi:type="dcterms:W3CDTF">2017-10-04T05:04:00Z</dcterms:modified>
</cp:coreProperties>
</file>