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0C22" w:rsidRPr="00255786" w:rsidRDefault="00373E0F" w:rsidP="00DD0C22">
      <w:pPr>
        <w:kinsoku w:val="0"/>
        <w:overflowPunct w:val="0"/>
        <w:snapToGrid w:val="0"/>
        <w:spacing w:line="240" w:lineRule="auto"/>
        <w:ind w:firstLineChars="100" w:firstLine="240"/>
        <w:rPr>
          <w:rFonts w:ascii="ＭＳ ゴシック" w:eastAsia="ＭＳ ゴシック" w:hAnsi="ＭＳ ゴシック"/>
          <w:color w:val="0070C0"/>
          <w:szCs w:val="24"/>
        </w:rPr>
      </w:pPr>
      <w:r>
        <w:rPr>
          <w:rFonts w:ascii="ＭＳ ゴシック" w:eastAsia="ＭＳ ゴシック" w:hAnsi="ＭＳ ゴシック" w:hint="eastAsia"/>
          <w:szCs w:val="24"/>
        </w:rPr>
        <w:t>２</w:t>
      </w:r>
      <w:r w:rsidR="00DD0C22" w:rsidRPr="0025578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歳　　出</w:t>
      </w:r>
    </w:p>
    <w:p w:rsidR="00373E0F" w:rsidRDefault="00373E0F" w:rsidP="00373E0F">
      <w:pPr>
        <w:kinsoku w:val="0"/>
        <w:overflowPunct w:val="0"/>
        <w:snapToGrid w:val="0"/>
        <w:spacing w:line="240" w:lineRule="auto"/>
        <w:rPr>
          <w:rFonts w:hAnsi="ＭＳ 明朝"/>
          <w:snapToGrid w:val="0"/>
          <w:szCs w:val="24"/>
        </w:rPr>
      </w:pPr>
    </w:p>
    <w:p w:rsidR="00373E0F" w:rsidRDefault="00373E0F" w:rsidP="00373E0F">
      <w:pPr>
        <w:kinsoku w:val="0"/>
        <w:overflowPunct w:val="0"/>
        <w:snapToGrid w:val="0"/>
        <w:spacing w:line="240" w:lineRule="auto"/>
        <w:ind w:firstLineChars="200" w:firstLine="480"/>
        <w:rPr>
          <w:rFonts w:ascii="ＭＳ ゴシック" w:eastAsia="ＭＳ ゴシック" w:hAnsi="ＭＳ ゴシック"/>
          <w:szCs w:val="24"/>
        </w:rPr>
      </w:pPr>
      <w:r w:rsidRPr="00373E0F">
        <w:rPr>
          <w:rFonts w:ascii="ＭＳ ゴシック" w:eastAsia="ＭＳ ゴシック" w:hAnsi="ＭＳ ゴシック" w:hint="eastAsia"/>
          <w:kern w:val="2"/>
          <w:szCs w:val="24"/>
        </w:rPr>
        <w:t>⑴　歳出の状況</w:t>
      </w:r>
    </w:p>
    <w:p w:rsidR="00F810D6" w:rsidRDefault="00373E0F" w:rsidP="00F810D6">
      <w:pPr>
        <w:kinsoku w:val="0"/>
        <w:overflowPunct w:val="0"/>
        <w:snapToGrid w:val="0"/>
        <w:spacing w:line="240" w:lineRule="auto"/>
        <w:ind w:leftChars="300" w:left="720" w:firstLineChars="100" w:firstLine="240"/>
        <w:jc w:val="distribute"/>
        <w:rPr>
          <w:rFonts w:hAnsi="ＭＳ 明朝"/>
          <w:szCs w:val="24"/>
        </w:rPr>
      </w:pPr>
      <w:r w:rsidRPr="00654FC7">
        <w:rPr>
          <w:rFonts w:hAnsi="ＭＳ 明朝" w:hint="eastAsia"/>
          <w:szCs w:val="24"/>
        </w:rPr>
        <w:t>当年度の歳出決算額は</w:t>
      </w:r>
      <w:r w:rsidR="00B3023C" w:rsidRPr="00654FC7">
        <w:rPr>
          <w:rFonts w:hAnsi="ＭＳ 明朝" w:hint="eastAsia"/>
          <w:szCs w:val="24"/>
        </w:rPr>
        <w:t xml:space="preserve"> </w:t>
      </w:r>
      <w:r w:rsidR="00FD035C">
        <w:rPr>
          <w:rFonts w:hAnsi="ＭＳ 明朝" w:hint="eastAsia"/>
          <w:szCs w:val="24"/>
        </w:rPr>
        <w:t>68,456,571</w:t>
      </w:r>
      <w:r w:rsidRPr="00654FC7">
        <w:rPr>
          <w:rFonts w:hAnsi="ＭＳ 明朝" w:hint="eastAsia"/>
          <w:szCs w:val="24"/>
        </w:rPr>
        <w:t>千円で、予算現額</w:t>
      </w:r>
      <w:r w:rsidR="00FD035C">
        <w:rPr>
          <w:rFonts w:hAnsi="ＭＳ 明朝" w:hint="eastAsia"/>
          <w:szCs w:val="24"/>
        </w:rPr>
        <w:t>73,871,373</w:t>
      </w:r>
      <w:r w:rsidRPr="00654FC7">
        <w:rPr>
          <w:rFonts w:hAnsi="ＭＳ 明朝" w:hint="eastAsia"/>
          <w:szCs w:val="24"/>
        </w:rPr>
        <w:t>千円に対して</w:t>
      </w:r>
    </w:p>
    <w:p w:rsidR="00373E0F" w:rsidRPr="00654FC7" w:rsidRDefault="00373E0F" w:rsidP="00F810D6">
      <w:pPr>
        <w:kinsoku w:val="0"/>
        <w:overflowPunct w:val="0"/>
        <w:snapToGrid w:val="0"/>
        <w:spacing w:line="240" w:lineRule="auto"/>
        <w:ind w:firstLineChars="300" w:firstLine="720"/>
        <w:rPr>
          <w:rFonts w:ascii="ＭＳ ゴシック" w:eastAsia="ＭＳ ゴシック" w:hAnsi="ＭＳ ゴシック"/>
          <w:szCs w:val="24"/>
        </w:rPr>
      </w:pPr>
      <w:r w:rsidRPr="00654FC7">
        <w:rPr>
          <w:rFonts w:hAnsi="ＭＳ 明朝" w:hint="eastAsia"/>
          <w:szCs w:val="24"/>
        </w:rPr>
        <w:t>執行率は</w:t>
      </w:r>
      <w:r w:rsidR="002D3248">
        <w:rPr>
          <w:rFonts w:hAnsi="ＭＳ 明朝" w:hint="eastAsia"/>
          <w:szCs w:val="24"/>
        </w:rPr>
        <w:t>9</w:t>
      </w:r>
      <w:r w:rsidR="00C71DFC">
        <w:rPr>
          <w:rFonts w:hAnsi="ＭＳ 明朝" w:hint="eastAsia"/>
          <w:szCs w:val="24"/>
        </w:rPr>
        <w:t>2.7</w:t>
      </w:r>
      <w:r w:rsidRPr="00654FC7">
        <w:rPr>
          <w:rFonts w:hAnsi="ＭＳ 明朝" w:hint="eastAsia"/>
          <w:szCs w:val="24"/>
        </w:rPr>
        <w:t>％(前年度</w:t>
      </w:r>
      <w:r w:rsidR="00432FF3">
        <w:rPr>
          <w:rFonts w:hAnsi="ＭＳ 明朝" w:hint="eastAsia"/>
          <w:szCs w:val="24"/>
        </w:rPr>
        <w:t>92.4</w:t>
      </w:r>
      <w:r w:rsidRPr="00654FC7">
        <w:rPr>
          <w:rFonts w:hAnsi="ＭＳ 明朝" w:hint="eastAsia"/>
          <w:szCs w:val="24"/>
        </w:rPr>
        <w:t>％)となっている。</w:t>
      </w:r>
    </w:p>
    <w:p w:rsidR="00373E0F" w:rsidRPr="00654FC7" w:rsidRDefault="00373E0F" w:rsidP="00373E0F">
      <w:pPr>
        <w:kinsoku w:val="0"/>
        <w:overflowPunct w:val="0"/>
        <w:snapToGrid w:val="0"/>
        <w:spacing w:line="240" w:lineRule="auto"/>
        <w:ind w:firstLineChars="400" w:firstLine="960"/>
        <w:rPr>
          <w:rFonts w:hAnsi="ＭＳ 明朝"/>
          <w:szCs w:val="24"/>
        </w:rPr>
      </w:pPr>
      <w:r w:rsidRPr="00654FC7">
        <w:rPr>
          <w:rFonts w:hAnsi="ＭＳ 明朝" w:hint="eastAsia"/>
          <w:szCs w:val="24"/>
        </w:rPr>
        <w:t>支出済額は前年度に比べ</w:t>
      </w:r>
      <w:r w:rsidR="00432FF3">
        <w:rPr>
          <w:rFonts w:hAnsi="ＭＳ 明朝" w:hint="eastAsia"/>
          <w:szCs w:val="24"/>
        </w:rPr>
        <w:t>15,474,770</w:t>
      </w:r>
      <w:r w:rsidRPr="00654FC7">
        <w:rPr>
          <w:rFonts w:hAnsi="ＭＳ 明朝" w:hint="eastAsia"/>
          <w:szCs w:val="24"/>
        </w:rPr>
        <w:t>千円</w:t>
      </w:r>
      <w:r w:rsidR="007B5FC8">
        <w:rPr>
          <w:rFonts w:hAnsi="ＭＳ 明朝" w:hint="eastAsia"/>
          <w:szCs w:val="24"/>
        </w:rPr>
        <w:t>(</w:t>
      </w:r>
      <w:r w:rsidR="00432FF3">
        <w:rPr>
          <w:rFonts w:hAnsi="ＭＳ 明朝" w:hint="eastAsia"/>
          <w:szCs w:val="24"/>
        </w:rPr>
        <w:t>△18.4</w:t>
      </w:r>
      <w:r w:rsidRPr="00654FC7">
        <w:rPr>
          <w:rFonts w:hAnsi="ＭＳ 明朝" w:hint="eastAsia"/>
          <w:szCs w:val="24"/>
        </w:rPr>
        <w:t>％)</w:t>
      </w:r>
      <w:r w:rsidR="00432FF3">
        <w:rPr>
          <w:rFonts w:hAnsi="ＭＳ 明朝" w:hint="eastAsia"/>
          <w:szCs w:val="24"/>
        </w:rPr>
        <w:t>減少</w:t>
      </w:r>
      <w:r w:rsidRPr="00654FC7">
        <w:rPr>
          <w:rFonts w:hAnsi="ＭＳ 明朝" w:hint="eastAsia"/>
          <w:szCs w:val="24"/>
        </w:rPr>
        <w:t>している。</w:t>
      </w:r>
    </w:p>
    <w:p w:rsidR="00F60A27" w:rsidRDefault="00935FFA" w:rsidP="00935979">
      <w:pPr>
        <w:kinsoku w:val="0"/>
        <w:overflowPunct w:val="0"/>
        <w:snapToGrid w:val="0"/>
        <w:spacing w:line="240" w:lineRule="auto"/>
        <w:ind w:leftChars="300" w:left="720" w:firstLineChars="100" w:firstLine="225"/>
        <w:rPr>
          <w:rFonts w:hAnsi="ＭＳ 明朝"/>
          <w:szCs w:val="24"/>
        </w:rPr>
      </w:pPr>
      <w:r w:rsidRPr="00935979">
        <w:rPr>
          <w:rFonts w:hAnsi="ＭＳ 明朝" w:hint="eastAsia"/>
          <w:w w:val="94"/>
          <w:szCs w:val="24"/>
          <w:fitText w:val="8880" w:id="673977344"/>
        </w:rPr>
        <w:t>これは主に</w:t>
      </w:r>
      <w:r w:rsidR="00F810D6" w:rsidRPr="00935979">
        <w:rPr>
          <w:rFonts w:hAnsi="ＭＳ 明朝" w:hint="eastAsia"/>
          <w:w w:val="94"/>
          <w:szCs w:val="24"/>
          <w:fitText w:val="8880" w:id="673977344"/>
        </w:rPr>
        <w:t>、</w:t>
      </w:r>
      <w:r w:rsidR="00432FF3" w:rsidRPr="00935979">
        <w:rPr>
          <w:rFonts w:hAnsi="ＭＳ 明朝" w:hint="eastAsia"/>
          <w:w w:val="94"/>
          <w:szCs w:val="24"/>
          <w:fitText w:val="8880" w:id="673977344"/>
        </w:rPr>
        <w:t>土木</w:t>
      </w:r>
      <w:r w:rsidR="00F60A27" w:rsidRPr="00935979">
        <w:rPr>
          <w:rFonts w:hAnsi="ＭＳ 明朝" w:hint="eastAsia"/>
          <w:w w:val="94"/>
          <w:szCs w:val="24"/>
          <w:fitText w:val="8880" w:id="673977344"/>
        </w:rPr>
        <w:t>費で</w:t>
      </w:r>
      <w:r w:rsidR="00432FF3" w:rsidRPr="00935979">
        <w:rPr>
          <w:rFonts w:hAnsi="ＭＳ 明朝" w:hint="eastAsia"/>
          <w:w w:val="94"/>
          <w:szCs w:val="24"/>
          <w:fitText w:val="8880" w:id="673977344"/>
        </w:rPr>
        <w:t>8,774,290</w:t>
      </w:r>
      <w:r w:rsidR="00F60A27" w:rsidRPr="00935979">
        <w:rPr>
          <w:rFonts w:hAnsi="ＭＳ 明朝" w:hint="eastAsia"/>
          <w:w w:val="94"/>
          <w:szCs w:val="24"/>
          <w:fitText w:val="8880" w:id="673977344"/>
        </w:rPr>
        <w:t>千円(△</w:t>
      </w:r>
      <w:r w:rsidR="00432FF3" w:rsidRPr="00935979">
        <w:rPr>
          <w:rFonts w:hAnsi="ＭＳ 明朝" w:hint="eastAsia"/>
          <w:w w:val="94"/>
          <w:szCs w:val="24"/>
          <w:fitText w:val="8880" w:id="673977344"/>
        </w:rPr>
        <w:t>48.2</w:t>
      </w:r>
      <w:r w:rsidR="00F60A27" w:rsidRPr="00935979">
        <w:rPr>
          <w:rFonts w:hAnsi="ＭＳ 明朝" w:hint="eastAsia"/>
          <w:w w:val="94"/>
          <w:szCs w:val="24"/>
          <w:fitText w:val="8880" w:id="673977344"/>
        </w:rPr>
        <w:t>％)</w:t>
      </w:r>
      <w:r w:rsidR="007B5FC8" w:rsidRPr="00935979">
        <w:rPr>
          <w:rFonts w:hAnsi="ＭＳ 明朝" w:hint="eastAsia"/>
          <w:w w:val="94"/>
          <w:szCs w:val="24"/>
          <w:fitText w:val="8880" w:id="673977344"/>
        </w:rPr>
        <w:t>、</w:t>
      </w:r>
      <w:r w:rsidR="003353F4" w:rsidRPr="00935979">
        <w:rPr>
          <w:rFonts w:hAnsi="ＭＳ 明朝" w:hint="eastAsia"/>
          <w:w w:val="94"/>
          <w:szCs w:val="24"/>
          <w:fitText w:val="8880" w:id="673977344"/>
        </w:rPr>
        <w:t>教育</w:t>
      </w:r>
      <w:r w:rsidR="00F60A27" w:rsidRPr="00935979">
        <w:rPr>
          <w:rFonts w:hAnsi="ＭＳ 明朝" w:hint="eastAsia"/>
          <w:w w:val="94"/>
          <w:szCs w:val="24"/>
          <w:fitText w:val="8880" w:id="673977344"/>
        </w:rPr>
        <w:t>費で</w:t>
      </w:r>
      <w:r w:rsidR="003353F4" w:rsidRPr="00935979">
        <w:rPr>
          <w:rFonts w:hAnsi="ＭＳ 明朝" w:hint="eastAsia"/>
          <w:w w:val="94"/>
          <w:szCs w:val="24"/>
          <w:fitText w:val="8880" w:id="673977344"/>
        </w:rPr>
        <w:t>3,068,356</w:t>
      </w:r>
      <w:r w:rsidR="00F60A27" w:rsidRPr="00935979">
        <w:rPr>
          <w:rFonts w:hAnsi="ＭＳ 明朝" w:hint="eastAsia"/>
          <w:w w:val="94"/>
          <w:szCs w:val="24"/>
          <w:fitText w:val="8880" w:id="673977344"/>
        </w:rPr>
        <w:t>千円(△</w:t>
      </w:r>
      <w:r w:rsidR="003353F4" w:rsidRPr="00935979">
        <w:rPr>
          <w:rFonts w:hAnsi="ＭＳ 明朝" w:hint="eastAsia"/>
          <w:w w:val="94"/>
          <w:szCs w:val="24"/>
          <w:fitText w:val="8880" w:id="673977344"/>
        </w:rPr>
        <w:t>26.7</w:t>
      </w:r>
      <w:r w:rsidR="00F60A27" w:rsidRPr="00935979">
        <w:rPr>
          <w:rFonts w:hAnsi="ＭＳ 明朝" w:hint="eastAsia"/>
          <w:w w:val="94"/>
          <w:szCs w:val="24"/>
          <w:fitText w:val="8880" w:id="673977344"/>
        </w:rPr>
        <w:t>％</w:t>
      </w:r>
      <w:r w:rsidR="00D40067" w:rsidRPr="00935979">
        <w:rPr>
          <w:rFonts w:hAnsi="ＭＳ 明朝" w:hint="eastAsia"/>
          <w:w w:val="94"/>
          <w:szCs w:val="24"/>
          <w:fitText w:val="8880" w:id="673977344"/>
        </w:rPr>
        <w:t>)</w:t>
      </w:r>
      <w:r w:rsidR="00F60A27" w:rsidRPr="00935979">
        <w:rPr>
          <w:rFonts w:hAnsi="ＭＳ 明朝" w:hint="eastAsia"/>
          <w:spacing w:val="52"/>
          <w:w w:val="94"/>
          <w:szCs w:val="24"/>
          <w:fitText w:val="8880" w:id="673977344"/>
        </w:rPr>
        <w:t>、</w:t>
      </w:r>
    </w:p>
    <w:p w:rsidR="005552A3" w:rsidRPr="005552A3" w:rsidRDefault="007B5FC8" w:rsidP="005552A3">
      <w:pPr>
        <w:kinsoku w:val="0"/>
        <w:overflowPunct w:val="0"/>
        <w:snapToGrid w:val="0"/>
        <w:spacing w:line="240" w:lineRule="auto"/>
        <w:ind w:left="720" w:hangingChars="300" w:hanging="720"/>
        <w:rPr>
          <w:rFonts w:hAnsi="ＭＳ 明朝"/>
          <w:szCs w:val="24"/>
        </w:rPr>
      </w:pPr>
      <w:r>
        <w:rPr>
          <w:rFonts w:hAnsi="ＭＳ 明朝" w:hint="eastAsia"/>
          <w:szCs w:val="24"/>
        </w:rPr>
        <w:t xml:space="preserve">　　　</w:t>
      </w:r>
      <w:r w:rsidR="003353F4">
        <w:rPr>
          <w:rFonts w:hAnsi="ＭＳ 明朝" w:hint="eastAsia"/>
          <w:spacing w:val="-20"/>
          <w:szCs w:val="24"/>
        </w:rPr>
        <w:t>商工</w:t>
      </w:r>
      <w:r w:rsidR="009E5570" w:rsidRPr="005552A3">
        <w:rPr>
          <w:rFonts w:hAnsi="ＭＳ 明朝" w:hint="eastAsia"/>
          <w:spacing w:val="-20"/>
          <w:szCs w:val="24"/>
        </w:rPr>
        <w:t>費で</w:t>
      </w:r>
      <w:r w:rsidR="003353F4">
        <w:rPr>
          <w:rFonts w:hAnsi="ＭＳ 明朝" w:hint="eastAsia"/>
          <w:spacing w:val="-20"/>
          <w:szCs w:val="24"/>
        </w:rPr>
        <w:t>1,190,097</w:t>
      </w:r>
      <w:r w:rsidR="009E5570" w:rsidRPr="005552A3">
        <w:rPr>
          <w:rFonts w:hAnsi="ＭＳ 明朝" w:hint="eastAsia"/>
          <w:spacing w:val="-20"/>
          <w:szCs w:val="24"/>
        </w:rPr>
        <w:t>千円(△</w:t>
      </w:r>
      <w:r w:rsidR="003353F4">
        <w:rPr>
          <w:rFonts w:hAnsi="ＭＳ 明朝" w:hint="eastAsia"/>
          <w:spacing w:val="-20"/>
          <w:szCs w:val="24"/>
        </w:rPr>
        <w:t>20.2</w:t>
      </w:r>
      <w:r w:rsidR="009E5570" w:rsidRPr="005552A3">
        <w:rPr>
          <w:rFonts w:hAnsi="ＭＳ 明朝" w:hint="eastAsia"/>
          <w:spacing w:val="-20"/>
          <w:szCs w:val="24"/>
        </w:rPr>
        <w:t>％)減少した</w:t>
      </w:r>
      <w:r w:rsidR="005552A3">
        <w:rPr>
          <w:rFonts w:hAnsi="ＭＳ 明朝" w:hint="eastAsia"/>
          <w:szCs w:val="24"/>
        </w:rPr>
        <w:t>ことによるものである。</w:t>
      </w:r>
    </w:p>
    <w:p w:rsidR="00373E0F" w:rsidRPr="00654FC7" w:rsidRDefault="00F60A27" w:rsidP="005552A3">
      <w:pPr>
        <w:kinsoku w:val="0"/>
        <w:overflowPunct w:val="0"/>
        <w:snapToGrid w:val="0"/>
        <w:spacing w:line="240" w:lineRule="auto"/>
        <w:ind w:firstLineChars="300" w:firstLine="26640"/>
        <w:jc w:val="left"/>
        <w:rPr>
          <w:rFonts w:hAnsi="ＭＳ 明朝"/>
          <w:szCs w:val="24"/>
        </w:rPr>
      </w:pPr>
      <w:r w:rsidRPr="005552A3">
        <w:rPr>
          <w:rFonts w:hAnsi="ＭＳ 明朝" w:hint="eastAsia"/>
          <w:spacing w:val="4320"/>
          <w:szCs w:val="24"/>
          <w:fitText w:val="9120" w:id="673976836"/>
        </w:rPr>
        <w:t>公</w:t>
      </w:r>
      <w:r w:rsidRPr="005552A3">
        <w:rPr>
          <w:rFonts w:hAnsi="ＭＳ 明朝" w:hint="eastAsia"/>
          <w:szCs w:val="24"/>
          <w:fitText w:val="9120" w:id="673976836"/>
        </w:rPr>
        <w:t>債</w:t>
      </w:r>
    </w:p>
    <w:p w:rsidR="00373E0F" w:rsidRPr="00B3023C" w:rsidRDefault="00373E0F" w:rsidP="00373E0F">
      <w:pPr>
        <w:kinsoku w:val="0"/>
        <w:overflowPunct w:val="0"/>
        <w:snapToGrid w:val="0"/>
        <w:spacing w:line="240" w:lineRule="auto"/>
        <w:rPr>
          <w:rFonts w:hAnsi="ＭＳ 明朝"/>
          <w:color w:val="FF0000"/>
          <w:szCs w:val="24"/>
        </w:rPr>
      </w:pPr>
    </w:p>
    <w:p w:rsidR="00373E0F" w:rsidRDefault="00373E0F" w:rsidP="00373E0F">
      <w:pPr>
        <w:kinsoku w:val="0"/>
        <w:overflowPunct w:val="0"/>
        <w:snapToGrid w:val="0"/>
        <w:spacing w:line="240" w:lineRule="auto"/>
        <w:rPr>
          <w:rFonts w:hAnsi="ＭＳ 明朝"/>
          <w:snapToGrid w:val="0"/>
          <w:szCs w:val="24"/>
        </w:rPr>
      </w:pPr>
    </w:p>
    <w:p w:rsidR="00373E0F" w:rsidRDefault="00373E0F" w:rsidP="00373E0F">
      <w:pPr>
        <w:kinsoku w:val="0"/>
        <w:overflowPunct w:val="0"/>
        <w:snapToGrid w:val="0"/>
        <w:spacing w:line="240" w:lineRule="auto"/>
        <w:rPr>
          <w:rFonts w:hAnsi="ＭＳ 明朝"/>
          <w:snapToGrid w:val="0"/>
          <w:szCs w:val="24"/>
        </w:rPr>
      </w:pPr>
    </w:p>
    <w:p w:rsidR="00373E0F" w:rsidRDefault="00373E0F" w:rsidP="00373E0F">
      <w:pPr>
        <w:kinsoku w:val="0"/>
        <w:overflowPunct w:val="0"/>
        <w:snapToGrid w:val="0"/>
        <w:spacing w:line="240" w:lineRule="auto"/>
        <w:rPr>
          <w:rFonts w:hAnsi="ＭＳ 明朝"/>
          <w:snapToGrid w:val="0"/>
          <w:szCs w:val="24"/>
        </w:rPr>
      </w:pPr>
    </w:p>
    <w:p w:rsidR="00DD0C22" w:rsidRDefault="00DD0C22" w:rsidP="00DD0C22">
      <w:pPr>
        <w:kinsoku w:val="0"/>
        <w:overflowPunct w:val="0"/>
        <w:snapToGrid w:val="0"/>
        <w:spacing w:line="240" w:lineRule="auto"/>
        <w:ind w:firstLineChars="200" w:firstLine="480"/>
        <w:rPr>
          <w:rFonts w:hAnsi="ＭＳ 明朝"/>
          <w:szCs w:val="24"/>
        </w:rPr>
      </w:pPr>
      <w:r w:rsidRPr="00C92B14">
        <w:rPr>
          <w:rFonts w:asciiTheme="majorEastAsia" w:eastAsiaTheme="majorEastAsia" w:hAnsiTheme="majorEastAsia" w:hint="eastAsia"/>
          <w:snapToGrid w:val="0"/>
          <w:szCs w:val="24"/>
        </w:rPr>
        <w:t>一般会計</w:t>
      </w:r>
      <w:r w:rsidR="00373E0F" w:rsidRPr="00C92B14">
        <w:rPr>
          <w:rFonts w:asciiTheme="majorEastAsia" w:eastAsiaTheme="majorEastAsia" w:hAnsiTheme="majorEastAsia" w:hint="eastAsia"/>
          <w:snapToGrid w:val="0"/>
          <w:szCs w:val="24"/>
        </w:rPr>
        <w:t>歳出</w:t>
      </w:r>
      <w:r w:rsidRPr="00C92B14">
        <w:rPr>
          <w:rFonts w:asciiTheme="majorEastAsia" w:eastAsiaTheme="majorEastAsia" w:hAnsiTheme="majorEastAsia" w:hint="eastAsia"/>
          <w:snapToGrid w:val="0"/>
          <w:szCs w:val="24"/>
        </w:rPr>
        <w:t>款別構成状況</w:t>
      </w:r>
      <w:r w:rsidRPr="00DD0C22">
        <w:rPr>
          <w:rFonts w:hAnsi="ＭＳ 明朝" w:hint="eastAsia"/>
          <w:b/>
          <w:szCs w:val="24"/>
        </w:rPr>
        <w:t xml:space="preserve">　　　　　　　　　　　</w:t>
      </w:r>
      <w:r w:rsidRPr="00DD0C22">
        <w:rPr>
          <w:rFonts w:hAnsi="ＭＳ 明朝" w:hint="eastAsia"/>
          <w:szCs w:val="24"/>
        </w:rPr>
        <w:t xml:space="preserve">　　　　　　　（単位：％）</w:t>
      </w:r>
    </w:p>
    <w:p w:rsidR="00940888" w:rsidRPr="00DD0C22" w:rsidRDefault="00940888" w:rsidP="00DD0C22">
      <w:pPr>
        <w:kinsoku w:val="0"/>
        <w:overflowPunct w:val="0"/>
        <w:snapToGrid w:val="0"/>
        <w:spacing w:line="240" w:lineRule="auto"/>
        <w:ind w:firstLineChars="200" w:firstLine="480"/>
        <w:rPr>
          <w:rFonts w:hAnsi="ＭＳ 明朝"/>
          <w:color w:val="0070C0"/>
          <w:szCs w:val="24"/>
        </w:rPr>
      </w:pPr>
    </w:p>
    <w:p w:rsidR="00DD0C22" w:rsidRPr="00940888" w:rsidRDefault="00DD0C22" w:rsidP="00940888">
      <w:pPr>
        <w:kinsoku w:val="0"/>
        <w:overflowPunct w:val="0"/>
        <w:snapToGrid w:val="0"/>
        <w:spacing w:line="240" w:lineRule="auto"/>
        <w:jc w:val="center"/>
        <w:rPr>
          <w:rFonts w:ascii="ＭＳ ゴシック" w:eastAsia="ＭＳ ゴシック" w:hAnsi="ＭＳ ゴシック"/>
          <w:bCs/>
          <w:szCs w:val="24"/>
        </w:rPr>
      </w:pPr>
      <w:r w:rsidRPr="00940888">
        <w:rPr>
          <w:rFonts w:ascii="ＭＳ ゴシック" w:eastAsia="ＭＳ ゴシック" w:hAnsi="ＭＳ ゴシック"/>
          <w:bCs/>
          <w:szCs w:val="24"/>
        </w:rPr>
        <w:t>平成</w:t>
      </w:r>
      <w:r w:rsidR="002D3248">
        <w:rPr>
          <w:rFonts w:ascii="ＭＳ ゴシック" w:eastAsia="ＭＳ ゴシック" w:hAnsi="ＭＳ ゴシック" w:hint="eastAsia"/>
          <w:bCs/>
          <w:szCs w:val="24"/>
        </w:rPr>
        <w:t>2</w:t>
      </w:r>
      <w:r w:rsidR="005F7B33">
        <w:rPr>
          <w:rFonts w:ascii="ＭＳ ゴシック" w:eastAsia="ＭＳ ゴシック" w:hAnsi="ＭＳ ゴシック" w:hint="eastAsia"/>
          <w:bCs/>
          <w:szCs w:val="24"/>
        </w:rPr>
        <w:t>7</w:t>
      </w:r>
      <w:r w:rsidRPr="00940888">
        <w:rPr>
          <w:rFonts w:ascii="ＭＳ ゴシック" w:eastAsia="ＭＳ ゴシック" w:hAnsi="ＭＳ ゴシック"/>
          <w:bCs/>
          <w:szCs w:val="24"/>
        </w:rPr>
        <w:t>年度</w:t>
      </w:r>
      <w:r w:rsidR="00373E0F">
        <w:rPr>
          <w:rFonts w:ascii="ＭＳ ゴシック" w:eastAsia="ＭＳ ゴシック" w:hAnsi="ＭＳ ゴシック" w:hint="eastAsia"/>
          <w:bCs/>
          <w:szCs w:val="24"/>
        </w:rPr>
        <w:t>歳出</w:t>
      </w:r>
      <w:r w:rsidRPr="00940888">
        <w:rPr>
          <w:rFonts w:ascii="ＭＳ ゴシック" w:eastAsia="ＭＳ ゴシック" w:hAnsi="ＭＳ ゴシック"/>
          <w:bCs/>
          <w:szCs w:val="24"/>
        </w:rPr>
        <w:t xml:space="preserve">決算額　</w:t>
      </w:r>
      <w:r w:rsidR="00FD035C">
        <w:rPr>
          <w:rFonts w:ascii="ＭＳ ゴシック" w:eastAsia="ＭＳ ゴシック" w:hAnsi="ＭＳ ゴシック" w:hint="eastAsia"/>
          <w:bCs/>
          <w:szCs w:val="24"/>
        </w:rPr>
        <w:t>68,456,571</w:t>
      </w:r>
      <w:r w:rsidRPr="00940888">
        <w:rPr>
          <w:rFonts w:ascii="ＭＳ ゴシック" w:eastAsia="ＭＳ ゴシック" w:hAnsi="ＭＳ ゴシック"/>
          <w:bCs/>
          <w:szCs w:val="24"/>
        </w:rPr>
        <w:t>千円</w:t>
      </w:r>
    </w:p>
    <w:p w:rsidR="003E7FE5" w:rsidRPr="00940888" w:rsidRDefault="00E75789" w:rsidP="000307AE">
      <w:pPr>
        <w:spacing w:line="240" w:lineRule="auto"/>
        <w:rPr>
          <w:rFonts w:hAnsi="ＭＳ 明朝"/>
          <w:sz w:val="22"/>
          <w:szCs w:val="22"/>
        </w:rPr>
      </w:pPr>
      <w:r>
        <w:rPr>
          <w:rFonts w:hAnsi="ＭＳ 明朝"/>
          <w:noProof/>
          <w:szCs w:val="24"/>
        </w:rPr>
        <w:drawing>
          <wp:inline distT="0" distB="0" distL="0" distR="0">
            <wp:extent cx="6172200" cy="4086225"/>
            <wp:effectExtent l="0" t="0" r="0" b="0"/>
            <wp:docPr id="1" name="オブジェクト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r w:rsidR="000307AE">
        <w:rPr>
          <w:rFonts w:hAnsi="ＭＳ 明朝" w:hint="eastAsia"/>
          <w:szCs w:val="24"/>
        </w:rPr>
        <w:t xml:space="preserve">                                                        </w:t>
      </w:r>
      <w:r w:rsidR="00940888" w:rsidRPr="00940888">
        <w:rPr>
          <w:rFonts w:hAnsi="ＭＳ 明朝" w:hint="eastAsia"/>
          <w:sz w:val="22"/>
          <w:szCs w:val="22"/>
        </w:rPr>
        <w:t>※　(　)内は、</w:t>
      </w:r>
      <w:r w:rsidR="00BF0B68">
        <w:rPr>
          <w:rFonts w:hAnsi="ＭＳ 明朝" w:hint="eastAsia"/>
          <w:sz w:val="22"/>
          <w:szCs w:val="22"/>
        </w:rPr>
        <w:t>2</w:t>
      </w:r>
      <w:r w:rsidR="005F7B33">
        <w:rPr>
          <w:rFonts w:hAnsi="ＭＳ 明朝" w:hint="eastAsia"/>
          <w:sz w:val="22"/>
          <w:szCs w:val="22"/>
        </w:rPr>
        <w:t>6</w:t>
      </w:r>
      <w:r w:rsidR="00940888" w:rsidRPr="00940888">
        <w:rPr>
          <w:rFonts w:hAnsi="ＭＳ 明朝" w:hint="eastAsia"/>
          <w:sz w:val="22"/>
          <w:szCs w:val="22"/>
        </w:rPr>
        <w:t>年度数値</w:t>
      </w:r>
    </w:p>
    <w:p w:rsidR="000307AE" w:rsidRDefault="000307AE" w:rsidP="000307AE">
      <w:pPr>
        <w:kinsoku w:val="0"/>
        <w:overflowPunct w:val="0"/>
        <w:snapToGrid w:val="0"/>
        <w:spacing w:line="240" w:lineRule="auto"/>
        <w:rPr>
          <w:rFonts w:ascii="ＭＳ ゴシック" w:eastAsia="ＭＳ ゴシック" w:hAnsi="ＭＳ ゴシック"/>
          <w:szCs w:val="24"/>
        </w:rPr>
      </w:pPr>
    </w:p>
    <w:p w:rsidR="000307AE" w:rsidRDefault="000307AE" w:rsidP="000307AE">
      <w:pPr>
        <w:kinsoku w:val="0"/>
        <w:overflowPunct w:val="0"/>
        <w:snapToGrid w:val="0"/>
        <w:spacing w:line="240" w:lineRule="auto"/>
        <w:rPr>
          <w:rFonts w:ascii="ＭＳ ゴシック" w:eastAsia="ＭＳ ゴシック" w:hAnsi="ＭＳ ゴシック"/>
          <w:szCs w:val="24"/>
        </w:rPr>
      </w:pPr>
    </w:p>
    <w:p w:rsidR="000307AE" w:rsidRDefault="000307AE" w:rsidP="000307AE">
      <w:pPr>
        <w:kinsoku w:val="0"/>
        <w:overflowPunct w:val="0"/>
        <w:snapToGrid w:val="0"/>
        <w:spacing w:line="240" w:lineRule="auto"/>
        <w:rPr>
          <w:rFonts w:ascii="ＭＳ ゴシック" w:eastAsia="ＭＳ ゴシック" w:hAnsi="ＭＳ ゴシック"/>
          <w:szCs w:val="24"/>
        </w:rPr>
      </w:pPr>
    </w:p>
    <w:p w:rsidR="000307AE" w:rsidRDefault="000307AE" w:rsidP="000307AE">
      <w:pPr>
        <w:kinsoku w:val="0"/>
        <w:overflowPunct w:val="0"/>
        <w:snapToGrid w:val="0"/>
        <w:spacing w:line="240" w:lineRule="auto"/>
        <w:rPr>
          <w:rFonts w:ascii="ＭＳ ゴシック" w:eastAsia="ＭＳ ゴシック" w:hAnsi="ＭＳ ゴシック"/>
          <w:szCs w:val="24"/>
        </w:rPr>
      </w:pPr>
    </w:p>
    <w:p w:rsidR="000307AE" w:rsidRDefault="000307AE" w:rsidP="000307AE">
      <w:pPr>
        <w:kinsoku w:val="0"/>
        <w:overflowPunct w:val="0"/>
        <w:snapToGrid w:val="0"/>
        <w:spacing w:line="240" w:lineRule="auto"/>
        <w:rPr>
          <w:rFonts w:ascii="ＭＳ ゴシック" w:eastAsia="ＭＳ ゴシック" w:hAnsi="ＭＳ ゴシック"/>
          <w:szCs w:val="24"/>
        </w:rPr>
      </w:pPr>
    </w:p>
    <w:p w:rsidR="000307AE" w:rsidRDefault="000307AE" w:rsidP="000307AE">
      <w:pPr>
        <w:kinsoku w:val="0"/>
        <w:overflowPunct w:val="0"/>
        <w:snapToGrid w:val="0"/>
        <w:spacing w:line="240" w:lineRule="auto"/>
        <w:rPr>
          <w:rFonts w:ascii="ＭＳ ゴシック" w:eastAsia="ＭＳ ゴシック" w:hAnsi="ＭＳ ゴシック"/>
          <w:szCs w:val="24"/>
        </w:rPr>
      </w:pPr>
    </w:p>
    <w:p w:rsidR="000307AE" w:rsidRDefault="000307AE" w:rsidP="000307AE">
      <w:pPr>
        <w:kinsoku w:val="0"/>
        <w:overflowPunct w:val="0"/>
        <w:snapToGrid w:val="0"/>
        <w:spacing w:line="240" w:lineRule="auto"/>
        <w:rPr>
          <w:rFonts w:ascii="ＭＳ ゴシック" w:eastAsia="ＭＳ ゴシック" w:hAnsi="ＭＳ ゴシック"/>
          <w:szCs w:val="24"/>
        </w:rPr>
      </w:pPr>
    </w:p>
    <w:p w:rsidR="003353F4" w:rsidRDefault="003353F4" w:rsidP="000307AE">
      <w:pPr>
        <w:kinsoku w:val="0"/>
        <w:overflowPunct w:val="0"/>
        <w:snapToGrid w:val="0"/>
        <w:spacing w:line="240" w:lineRule="auto"/>
        <w:rPr>
          <w:rFonts w:ascii="ＭＳ ゴシック" w:eastAsia="ＭＳ ゴシック" w:hAnsi="ＭＳ ゴシック"/>
          <w:szCs w:val="24"/>
        </w:rPr>
      </w:pPr>
    </w:p>
    <w:p w:rsidR="0062344B" w:rsidRDefault="00B60D86" w:rsidP="00DC50CB">
      <w:pPr>
        <w:spacing w:line="240" w:lineRule="auto"/>
        <w:jc w:val="right"/>
        <w:rPr>
          <w:rFonts w:ascii="ＭＳ ゴシック" w:eastAsia="ＭＳ ゴシック" w:hAnsi="ＭＳ ゴシック"/>
          <w:szCs w:val="24"/>
        </w:rPr>
      </w:pPr>
      <w:r w:rsidRPr="00B60D86">
        <w:rPr>
          <w:rFonts w:ascii="ＭＳ ゴシック" w:eastAsia="ＭＳ ゴシック" w:hAnsi="ＭＳ ゴシック" w:hint="eastAsia"/>
          <w:szCs w:val="24"/>
        </w:rPr>
        <w:lastRenderedPageBreak/>
        <w:t>一</w:t>
      </w:r>
      <w:r>
        <w:rPr>
          <w:rFonts w:ascii="ＭＳ ゴシック" w:eastAsia="ＭＳ ゴシック" w:hAnsi="ＭＳ ゴシック" w:hint="eastAsia"/>
          <w:szCs w:val="24"/>
        </w:rPr>
        <w:t xml:space="preserve">　</w:t>
      </w:r>
      <w:r w:rsidRPr="00B60D86">
        <w:rPr>
          <w:rFonts w:ascii="ＭＳ ゴシック" w:eastAsia="ＭＳ ゴシック" w:hAnsi="ＭＳ ゴシック" w:hint="eastAsia"/>
          <w:szCs w:val="24"/>
        </w:rPr>
        <w:t>般</w:t>
      </w:r>
      <w:r>
        <w:rPr>
          <w:rFonts w:ascii="ＭＳ ゴシック" w:eastAsia="ＭＳ ゴシック" w:hAnsi="ＭＳ ゴシック" w:hint="eastAsia"/>
          <w:szCs w:val="24"/>
        </w:rPr>
        <w:t xml:space="preserve">　</w:t>
      </w:r>
      <w:r w:rsidRPr="00B60D86">
        <w:rPr>
          <w:rFonts w:ascii="ＭＳ ゴシック" w:eastAsia="ＭＳ ゴシック" w:hAnsi="ＭＳ ゴシック" w:hint="eastAsia"/>
          <w:szCs w:val="24"/>
        </w:rPr>
        <w:t>会</w:t>
      </w:r>
      <w:r>
        <w:rPr>
          <w:rFonts w:ascii="ＭＳ ゴシック" w:eastAsia="ＭＳ ゴシック" w:hAnsi="ＭＳ ゴシック" w:hint="eastAsia"/>
          <w:szCs w:val="24"/>
        </w:rPr>
        <w:t xml:space="preserve">　</w:t>
      </w:r>
      <w:r w:rsidRPr="00B60D86">
        <w:rPr>
          <w:rFonts w:ascii="ＭＳ ゴシック" w:eastAsia="ＭＳ ゴシック" w:hAnsi="ＭＳ ゴシック" w:hint="eastAsia"/>
          <w:szCs w:val="24"/>
        </w:rPr>
        <w:t>計</w:t>
      </w:r>
      <w:r>
        <w:rPr>
          <w:rFonts w:ascii="ＭＳ ゴシック" w:eastAsia="ＭＳ ゴシック" w:hAnsi="ＭＳ ゴシック" w:hint="eastAsia"/>
          <w:szCs w:val="24"/>
        </w:rPr>
        <w:t xml:space="preserve">　</w:t>
      </w:r>
      <w:r w:rsidR="000307AE">
        <w:rPr>
          <w:rFonts w:ascii="ＭＳ ゴシック" w:eastAsia="ＭＳ ゴシック" w:hAnsi="ＭＳ ゴシック" w:hint="eastAsia"/>
          <w:szCs w:val="24"/>
        </w:rPr>
        <w:t>歳　出</w:t>
      </w:r>
    </w:p>
    <w:p w:rsidR="0062344B" w:rsidRDefault="0062344B" w:rsidP="00DC50CB">
      <w:pPr>
        <w:spacing w:line="240" w:lineRule="auto"/>
        <w:rPr>
          <w:rFonts w:hAnsi="ＭＳ 明朝"/>
          <w:szCs w:val="24"/>
        </w:rPr>
      </w:pPr>
    </w:p>
    <w:bookmarkStart w:id="0" w:name="_MON_1438688165"/>
    <w:bookmarkEnd w:id="0"/>
    <w:p w:rsidR="001D683C" w:rsidRDefault="00F92026" w:rsidP="001D683C">
      <w:pPr>
        <w:spacing w:line="240" w:lineRule="auto"/>
        <w:rPr>
          <w:rFonts w:hAnsi="ＭＳ 明朝"/>
          <w:szCs w:val="24"/>
        </w:rPr>
      </w:pPr>
      <w:r w:rsidRPr="0020002D">
        <w:rPr>
          <w:rFonts w:hAnsi="ＭＳ 明朝"/>
          <w:szCs w:val="24"/>
        </w:rPr>
        <w:object w:dxaOrig="10188" w:dyaOrig="86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85pt;height:401.3pt" o:ole="">
            <v:imagedata r:id="rId8" o:title=""/>
          </v:shape>
          <o:OLEObject Type="Embed" ProgID="Excel.Sheet.12" ShapeID="_x0000_i1025" DrawAspect="Content" ObjectID="_1540119609" r:id="rId9"/>
        </w:object>
      </w:r>
    </w:p>
    <w:p w:rsidR="00262A79" w:rsidRDefault="00A9426D" w:rsidP="00FC1344">
      <w:pPr>
        <w:spacing w:line="240" w:lineRule="auto"/>
        <w:ind w:firstLineChars="100" w:firstLine="240"/>
        <w:jc w:val="distribute"/>
        <w:rPr>
          <w:rFonts w:hAnsi="ＭＳ 明朝"/>
          <w:szCs w:val="24"/>
        </w:rPr>
      </w:pPr>
      <w:r w:rsidRPr="00E3679A">
        <w:rPr>
          <w:rFonts w:hAnsi="ＭＳ 明朝" w:hint="eastAsia"/>
          <w:szCs w:val="24"/>
        </w:rPr>
        <w:t>当年度の各款の支出済額にかかる対前年度増減についての主な要因は、次のとおりで</w:t>
      </w:r>
    </w:p>
    <w:p w:rsidR="00A9426D" w:rsidRDefault="00A9426D" w:rsidP="00262A79">
      <w:pPr>
        <w:kinsoku w:val="0"/>
        <w:overflowPunct w:val="0"/>
        <w:snapToGrid w:val="0"/>
        <w:spacing w:line="240" w:lineRule="auto"/>
        <w:rPr>
          <w:rFonts w:hAnsi="ＭＳ 明朝"/>
          <w:szCs w:val="24"/>
        </w:rPr>
      </w:pPr>
      <w:r w:rsidRPr="00E3679A">
        <w:rPr>
          <w:rFonts w:hAnsi="ＭＳ 明朝" w:hint="eastAsia"/>
          <w:szCs w:val="24"/>
        </w:rPr>
        <w:t>ある。</w:t>
      </w:r>
    </w:p>
    <w:p w:rsidR="005552A3" w:rsidRDefault="005552A3" w:rsidP="00262A79">
      <w:pPr>
        <w:kinsoku w:val="0"/>
        <w:overflowPunct w:val="0"/>
        <w:snapToGrid w:val="0"/>
        <w:spacing w:line="240" w:lineRule="auto"/>
        <w:rPr>
          <w:rFonts w:hAnsi="ＭＳ 明朝"/>
          <w:szCs w:val="24"/>
        </w:rPr>
      </w:pPr>
      <w:r>
        <w:rPr>
          <w:rFonts w:hAnsi="ＭＳ 明朝" w:hint="eastAsia"/>
          <w:szCs w:val="24"/>
        </w:rPr>
        <w:t xml:space="preserve">　民生費の</w:t>
      </w:r>
      <w:r w:rsidR="00F73588">
        <w:rPr>
          <w:rFonts w:hAnsi="ＭＳ 明朝" w:hint="eastAsia"/>
          <w:szCs w:val="24"/>
        </w:rPr>
        <w:t>減少</w:t>
      </w:r>
      <w:r>
        <w:rPr>
          <w:rFonts w:hAnsi="ＭＳ 明朝" w:hint="eastAsia"/>
          <w:szCs w:val="24"/>
        </w:rPr>
        <w:t>の主な要因は、</w:t>
      </w:r>
      <w:r w:rsidR="00F73588">
        <w:rPr>
          <w:rFonts w:hAnsi="ＭＳ 明朝" w:hint="eastAsia"/>
          <w:szCs w:val="24"/>
        </w:rPr>
        <w:t>新たに</w:t>
      </w:r>
      <w:r>
        <w:rPr>
          <w:rFonts w:hAnsi="ＭＳ 明朝" w:hint="eastAsia"/>
          <w:szCs w:val="24"/>
        </w:rPr>
        <w:t>私立</w:t>
      </w:r>
      <w:r w:rsidR="00F73588">
        <w:rPr>
          <w:rFonts w:hAnsi="ＭＳ 明朝" w:hint="eastAsia"/>
          <w:szCs w:val="24"/>
        </w:rPr>
        <w:t>認定こども園施設型給付費</w:t>
      </w:r>
      <w:r w:rsidR="00164CD8">
        <w:rPr>
          <w:rFonts w:hAnsi="ＭＳ 明朝" w:hint="eastAsia"/>
          <w:szCs w:val="24"/>
        </w:rPr>
        <w:t>、</w:t>
      </w:r>
      <w:r w:rsidR="00F73588">
        <w:rPr>
          <w:rFonts w:hAnsi="ＭＳ 明朝" w:hint="eastAsia"/>
          <w:szCs w:val="24"/>
        </w:rPr>
        <w:t>公立</w:t>
      </w:r>
      <w:r w:rsidR="00164CD8">
        <w:rPr>
          <w:rFonts w:hAnsi="ＭＳ 明朝" w:hint="eastAsia"/>
          <w:szCs w:val="24"/>
        </w:rPr>
        <w:t>保育所</w:t>
      </w:r>
      <w:r w:rsidR="00F73588">
        <w:rPr>
          <w:rFonts w:hAnsi="ＭＳ 明朝" w:hint="eastAsia"/>
          <w:szCs w:val="24"/>
        </w:rPr>
        <w:t>施設型給付費が増加したほか、介護・訓練等給付費</w:t>
      </w:r>
      <w:r w:rsidR="0083230F">
        <w:rPr>
          <w:rFonts w:hAnsi="ＭＳ 明朝" w:hint="eastAsia"/>
          <w:szCs w:val="24"/>
        </w:rPr>
        <w:t>等</w:t>
      </w:r>
      <w:r w:rsidR="00315325">
        <w:rPr>
          <w:rFonts w:hAnsi="ＭＳ 明朝" w:hint="eastAsia"/>
          <w:szCs w:val="24"/>
        </w:rPr>
        <w:t>が</w:t>
      </w:r>
      <w:r w:rsidR="00F73588">
        <w:rPr>
          <w:rFonts w:hAnsi="ＭＳ 明朝" w:hint="eastAsia"/>
          <w:szCs w:val="24"/>
        </w:rPr>
        <w:t>増加</w:t>
      </w:r>
      <w:r w:rsidR="00315325">
        <w:rPr>
          <w:rFonts w:hAnsi="ＭＳ 明朝" w:hint="eastAsia"/>
          <w:szCs w:val="24"/>
        </w:rPr>
        <w:t>したものの、</w:t>
      </w:r>
      <w:r w:rsidR="00F73588">
        <w:rPr>
          <w:rFonts w:hAnsi="ＭＳ 明朝" w:hint="eastAsia"/>
          <w:szCs w:val="24"/>
        </w:rPr>
        <w:t>二上守山統合保育園建設事業費、</w:t>
      </w:r>
      <w:r w:rsidR="00F73588" w:rsidRPr="00821B8F">
        <w:rPr>
          <w:rFonts w:hAnsi="ＭＳ 明朝" w:hint="eastAsia"/>
          <w:w w:val="99"/>
          <w:szCs w:val="24"/>
        </w:rPr>
        <w:t>地域介護・福祉空間整備等補助金</w:t>
      </w:r>
      <w:r w:rsidR="00F73588">
        <w:rPr>
          <w:rFonts w:hAnsi="ＭＳ 明朝" w:hint="eastAsia"/>
          <w:w w:val="99"/>
          <w:szCs w:val="24"/>
        </w:rPr>
        <w:t>、</w:t>
      </w:r>
      <w:r w:rsidR="00935979">
        <w:rPr>
          <w:rFonts w:hAnsi="ＭＳ 明朝" w:hint="eastAsia"/>
          <w:w w:val="99"/>
          <w:szCs w:val="24"/>
        </w:rPr>
        <w:t>はおか保育園改築事業費、</w:t>
      </w:r>
      <w:r w:rsidR="00935979">
        <w:rPr>
          <w:rFonts w:hAnsi="ＭＳ 明朝" w:hint="eastAsia"/>
          <w:szCs w:val="24"/>
        </w:rPr>
        <w:t>臨時福祉給付金給付事業費</w:t>
      </w:r>
      <w:r w:rsidR="00164CD8">
        <w:rPr>
          <w:rFonts w:hAnsi="ＭＳ 明朝" w:hint="eastAsia"/>
          <w:szCs w:val="24"/>
        </w:rPr>
        <w:t>等</w:t>
      </w:r>
      <w:r w:rsidR="00E44D5E">
        <w:rPr>
          <w:rFonts w:hAnsi="ＭＳ 明朝" w:hint="eastAsia"/>
          <w:szCs w:val="24"/>
        </w:rPr>
        <w:t>がそれぞれ</w:t>
      </w:r>
      <w:r w:rsidR="00935979">
        <w:rPr>
          <w:rFonts w:hAnsi="ＭＳ 明朝" w:hint="eastAsia"/>
          <w:szCs w:val="24"/>
        </w:rPr>
        <w:t>減少</w:t>
      </w:r>
      <w:r w:rsidR="00E44D5E">
        <w:rPr>
          <w:rFonts w:hAnsi="ＭＳ 明朝" w:hint="eastAsia"/>
          <w:szCs w:val="24"/>
        </w:rPr>
        <w:t>したことによるものである。</w:t>
      </w:r>
    </w:p>
    <w:p w:rsidR="00821B8F" w:rsidRDefault="00E44D5E" w:rsidP="00821B8F">
      <w:pPr>
        <w:kinsoku w:val="0"/>
        <w:overflowPunct w:val="0"/>
        <w:snapToGrid w:val="0"/>
        <w:spacing w:line="240" w:lineRule="auto"/>
        <w:rPr>
          <w:rFonts w:hAnsi="ＭＳ 明朝"/>
          <w:szCs w:val="24"/>
        </w:rPr>
      </w:pPr>
      <w:r>
        <w:rPr>
          <w:rFonts w:hAnsi="ＭＳ 明朝" w:hint="eastAsia"/>
          <w:szCs w:val="24"/>
        </w:rPr>
        <w:t xml:space="preserve">　土</w:t>
      </w:r>
      <w:r w:rsidR="00164CD8">
        <w:rPr>
          <w:rFonts w:hAnsi="ＭＳ 明朝" w:hint="eastAsia"/>
          <w:szCs w:val="24"/>
        </w:rPr>
        <w:t>木費の</w:t>
      </w:r>
      <w:r w:rsidR="00935979">
        <w:rPr>
          <w:rFonts w:hAnsi="ＭＳ 明朝" w:hint="eastAsia"/>
          <w:szCs w:val="24"/>
        </w:rPr>
        <w:t>減少</w:t>
      </w:r>
      <w:r w:rsidR="00164CD8">
        <w:rPr>
          <w:rFonts w:hAnsi="ＭＳ 明朝" w:hint="eastAsia"/>
          <w:szCs w:val="24"/>
        </w:rPr>
        <w:t>の主な要因は、</w:t>
      </w:r>
      <w:r w:rsidR="00935979">
        <w:rPr>
          <w:rFonts w:hAnsi="ＭＳ 明朝" w:hint="eastAsia"/>
          <w:szCs w:val="24"/>
        </w:rPr>
        <w:t>福岡</w:t>
      </w:r>
      <w:r w:rsidR="00164CD8">
        <w:rPr>
          <w:rFonts w:hAnsi="ＭＳ 明朝" w:hint="eastAsia"/>
          <w:szCs w:val="24"/>
        </w:rPr>
        <w:t>駅</w:t>
      </w:r>
      <w:r w:rsidR="00935979">
        <w:rPr>
          <w:rFonts w:hAnsi="ＭＳ 明朝" w:hint="eastAsia"/>
          <w:szCs w:val="24"/>
        </w:rPr>
        <w:t>前土地区画整理事業費</w:t>
      </w:r>
      <w:r w:rsidR="007F6F37">
        <w:rPr>
          <w:rFonts w:hAnsi="ＭＳ 明朝" w:hint="eastAsia"/>
          <w:szCs w:val="24"/>
        </w:rPr>
        <w:t>が</w:t>
      </w:r>
      <w:r w:rsidR="00935979">
        <w:rPr>
          <w:rFonts w:hAnsi="ＭＳ 明朝" w:hint="eastAsia"/>
          <w:szCs w:val="24"/>
        </w:rPr>
        <w:t>増加</w:t>
      </w:r>
      <w:r>
        <w:rPr>
          <w:rFonts w:hAnsi="ＭＳ 明朝" w:hint="eastAsia"/>
          <w:szCs w:val="24"/>
        </w:rPr>
        <w:t>したものの、</w:t>
      </w:r>
      <w:r w:rsidR="00935979">
        <w:rPr>
          <w:rFonts w:hAnsi="ＭＳ 明朝" w:hint="eastAsia"/>
          <w:szCs w:val="24"/>
        </w:rPr>
        <w:t>北陸新幹線対策事業費、</w:t>
      </w:r>
      <w:r>
        <w:rPr>
          <w:rFonts w:hAnsi="ＭＳ 明朝" w:hint="eastAsia"/>
          <w:szCs w:val="24"/>
        </w:rPr>
        <w:t>街路整備事業費</w:t>
      </w:r>
      <w:r w:rsidR="00164CD8">
        <w:rPr>
          <w:rFonts w:hAnsi="ＭＳ 明朝" w:hint="eastAsia"/>
          <w:szCs w:val="24"/>
        </w:rPr>
        <w:t>、</w:t>
      </w:r>
      <w:r w:rsidR="00935979">
        <w:rPr>
          <w:rFonts w:hAnsi="ＭＳ 明朝" w:hint="eastAsia"/>
          <w:szCs w:val="24"/>
        </w:rPr>
        <w:t>交通ネットワーク整備事業</w:t>
      </w:r>
      <w:r w:rsidR="00164CD8">
        <w:rPr>
          <w:rFonts w:hAnsi="ＭＳ 明朝" w:hint="eastAsia"/>
          <w:szCs w:val="24"/>
        </w:rPr>
        <w:t>等</w:t>
      </w:r>
      <w:r w:rsidR="00821B8F">
        <w:rPr>
          <w:rFonts w:hAnsi="ＭＳ 明朝" w:hint="eastAsia"/>
          <w:szCs w:val="24"/>
        </w:rPr>
        <w:t>が</w:t>
      </w:r>
      <w:r w:rsidR="00935979">
        <w:rPr>
          <w:rFonts w:hAnsi="ＭＳ 明朝" w:hint="eastAsia"/>
          <w:szCs w:val="24"/>
        </w:rPr>
        <w:t>減少</w:t>
      </w:r>
      <w:r w:rsidR="00821B8F">
        <w:rPr>
          <w:rFonts w:hAnsi="ＭＳ 明朝" w:hint="eastAsia"/>
          <w:szCs w:val="24"/>
        </w:rPr>
        <w:t>したことによるものである。</w:t>
      </w:r>
    </w:p>
    <w:p w:rsidR="00821B8F" w:rsidRDefault="00821B8F" w:rsidP="00821B8F">
      <w:pPr>
        <w:kinsoku w:val="0"/>
        <w:overflowPunct w:val="0"/>
        <w:snapToGrid w:val="0"/>
        <w:spacing w:line="240" w:lineRule="auto"/>
        <w:rPr>
          <w:rFonts w:hAnsi="ＭＳ 明朝"/>
          <w:szCs w:val="24"/>
        </w:rPr>
      </w:pPr>
      <w:r>
        <w:rPr>
          <w:rFonts w:hAnsi="ＭＳ 明朝" w:hint="eastAsia"/>
          <w:szCs w:val="24"/>
        </w:rPr>
        <w:t xml:space="preserve">　教育費の</w:t>
      </w:r>
      <w:r w:rsidR="00935979">
        <w:rPr>
          <w:rFonts w:hAnsi="ＭＳ 明朝" w:hint="eastAsia"/>
          <w:szCs w:val="24"/>
        </w:rPr>
        <w:t>減少</w:t>
      </w:r>
      <w:r>
        <w:rPr>
          <w:rFonts w:hAnsi="ＭＳ 明朝" w:hint="eastAsia"/>
          <w:szCs w:val="24"/>
        </w:rPr>
        <w:t>の主な要因は、</w:t>
      </w:r>
      <w:r w:rsidR="00935979">
        <w:rPr>
          <w:rFonts w:hAnsi="ＭＳ 明朝" w:hint="eastAsia"/>
          <w:szCs w:val="24"/>
        </w:rPr>
        <w:t>志貴野中学校校舎改築事業費</w:t>
      </w:r>
      <w:r w:rsidR="001232BD">
        <w:rPr>
          <w:rFonts w:hAnsi="ＭＳ 明朝" w:hint="eastAsia"/>
          <w:szCs w:val="24"/>
        </w:rPr>
        <w:t>が</w:t>
      </w:r>
      <w:r w:rsidR="008F7EDB">
        <w:rPr>
          <w:rFonts w:hAnsi="ＭＳ 明朝" w:hint="eastAsia"/>
          <w:szCs w:val="24"/>
        </w:rPr>
        <w:t>増加</w:t>
      </w:r>
      <w:r w:rsidR="001232BD">
        <w:rPr>
          <w:rFonts w:hAnsi="ＭＳ 明朝" w:hint="eastAsia"/>
          <w:szCs w:val="24"/>
        </w:rPr>
        <w:t>したも</w:t>
      </w:r>
      <w:r w:rsidR="00164CD8">
        <w:rPr>
          <w:rFonts w:hAnsi="ＭＳ 明朝" w:hint="eastAsia"/>
          <w:szCs w:val="24"/>
        </w:rPr>
        <w:t>のの、学校施設耐震化事業費、</w:t>
      </w:r>
      <w:r w:rsidR="008F7EDB">
        <w:rPr>
          <w:rFonts w:hAnsi="ＭＳ 明朝" w:hint="eastAsia"/>
          <w:szCs w:val="24"/>
        </w:rPr>
        <w:t>高岡西部総合公園整備事業費</w:t>
      </w:r>
      <w:r w:rsidR="00164CD8">
        <w:rPr>
          <w:rFonts w:hAnsi="ＭＳ 明朝" w:hint="eastAsia"/>
          <w:szCs w:val="24"/>
        </w:rPr>
        <w:t>等</w:t>
      </w:r>
      <w:r w:rsidR="001232BD">
        <w:rPr>
          <w:rFonts w:hAnsi="ＭＳ 明朝" w:hint="eastAsia"/>
          <w:szCs w:val="24"/>
        </w:rPr>
        <w:t>が</w:t>
      </w:r>
      <w:r w:rsidR="008F7EDB">
        <w:rPr>
          <w:rFonts w:hAnsi="ＭＳ 明朝" w:hint="eastAsia"/>
          <w:szCs w:val="24"/>
        </w:rPr>
        <w:t>減少</w:t>
      </w:r>
      <w:r w:rsidR="001232BD">
        <w:rPr>
          <w:rFonts w:hAnsi="ＭＳ 明朝" w:hint="eastAsia"/>
          <w:szCs w:val="24"/>
        </w:rPr>
        <w:t>したことによるものである。</w:t>
      </w:r>
    </w:p>
    <w:p w:rsidR="00E3679A" w:rsidRPr="00A721E4" w:rsidRDefault="00E3679A" w:rsidP="00935FD8">
      <w:pPr>
        <w:kinsoku w:val="0"/>
        <w:overflowPunct w:val="0"/>
        <w:snapToGrid w:val="0"/>
        <w:spacing w:line="240" w:lineRule="auto"/>
        <w:jc w:val="left"/>
        <w:rPr>
          <w:rFonts w:hAnsi="ＭＳ 明朝"/>
          <w:szCs w:val="24"/>
        </w:rPr>
      </w:pPr>
    </w:p>
    <w:p w:rsidR="00E3679A" w:rsidRDefault="00E3679A" w:rsidP="00DC50CB">
      <w:pPr>
        <w:kinsoku w:val="0"/>
        <w:overflowPunct w:val="0"/>
        <w:snapToGrid w:val="0"/>
        <w:spacing w:line="240" w:lineRule="auto"/>
        <w:rPr>
          <w:rFonts w:hAnsi="ＭＳ 明朝"/>
          <w:szCs w:val="24"/>
        </w:rPr>
      </w:pPr>
    </w:p>
    <w:p w:rsidR="00E3679A" w:rsidRDefault="00E3679A" w:rsidP="00DC50CB">
      <w:pPr>
        <w:kinsoku w:val="0"/>
        <w:overflowPunct w:val="0"/>
        <w:snapToGrid w:val="0"/>
        <w:spacing w:line="240" w:lineRule="auto"/>
        <w:rPr>
          <w:rFonts w:hAnsi="ＭＳ 明朝"/>
          <w:szCs w:val="24"/>
        </w:rPr>
      </w:pPr>
    </w:p>
    <w:p w:rsidR="002D62AE" w:rsidRDefault="002D62AE" w:rsidP="00DC50CB">
      <w:pPr>
        <w:spacing w:line="240" w:lineRule="auto"/>
        <w:rPr>
          <w:rFonts w:hAnsi="ＭＳ 明朝"/>
          <w:szCs w:val="24"/>
        </w:rPr>
      </w:pPr>
    </w:p>
    <w:p w:rsidR="008F7EDB" w:rsidRPr="00A9426D" w:rsidRDefault="008F7EDB" w:rsidP="00DC50CB">
      <w:pPr>
        <w:spacing w:line="240" w:lineRule="auto"/>
        <w:rPr>
          <w:rFonts w:hAnsi="ＭＳ 明朝"/>
          <w:szCs w:val="24"/>
        </w:rPr>
      </w:pPr>
    </w:p>
    <w:p w:rsidR="003E7FE5" w:rsidRPr="0062344B" w:rsidRDefault="0062344B" w:rsidP="00DC50CB">
      <w:pPr>
        <w:spacing w:line="240" w:lineRule="auto"/>
        <w:rPr>
          <w:rFonts w:ascii="ＭＳ ゴシック" w:eastAsia="ＭＳ ゴシック" w:hAnsi="ＭＳ ゴシック"/>
          <w:szCs w:val="24"/>
        </w:rPr>
      </w:pPr>
      <w:r w:rsidRPr="0062344B">
        <w:rPr>
          <w:rFonts w:ascii="ＭＳ ゴシック" w:eastAsia="ＭＳ ゴシック" w:hAnsi="ＭＳ ゴシック" w:hint="eastAsia"/>
          <w:szCs w:val="24"/>
        </w:rPr>
        <w:lastRenderedPageBreak/>
        <w:t>款</w:t>
      </w:r>
      <w:r>
        <w:rPr>
          <w:rFonts w:ascii="ＭＳ ゴシック" w:eastAsia="ＭＳ ゴシック" w:hAnsi="ＭＳ ゴシック" w:hint="eastAsia"/>
          <w:szCs w:val="24"/>
        </w:rPr>
        <w:t xml:space="preserve">　</w:t>
      </w:r>
      <w:r w:rsidRPr="0062344B">
        <w:rPr>
          <w:rFonts w:ascii="ＭＳ ゴシック" w:eastAsia="ＭＳ ゴシック" w:hAnsi="ＭＳ ゴシック" w:hint="eastAsia"/>
          <w:szCs w:val="24"/>
        </w:rPr>
        <w:t>別</w:t>
      </w:r>
      <w:r>
        <w:rPr>
          <w:rFonts w:ascii="ＭＳ ゴシック" w:eastAsia="ＭＳ ゴシック" w:hAnsi="ＭＳ ゴシック" w:hint="eastAsia"/>
          <w:szCs w:val="24"/>
        </w:rPr>
        <w:t xml:space="preserve">　</w:t>
      </w:r>
      <w:r w:rsidRPr="0062344B">
        <w:rPr>
          <w:rFonts w:ascii="ＭＳ ゴシック" w:eastAsia="ＭＳ ゴシック" w:hAnsi="ＭＳ ゴシック" w:hint="eastAsia"/>
          <w:szCs w:val="24"/>
        </w:rPr>
        <w:t>決</w:t>
      </w:r>
      <w:r>
        <w:rPr>
          <w:rFonts w:ascii="ＭＳ ゴシック" w:eastAsia="ＭＳ ゴシック" w:hAnsi="ＭＳ ゴシック" w:hint="eastAsia"/>
          <w:szCs w:val="24"/>
        </w:rPr>
        <w:t xml:space="preserve">　</w:t>
      </w:r>
      <w:r w:rsidRPr="0062344B">
        <w:rPr>
          <w:rFonts w:ascii="ＭＳ ゴシック" w:eastAsia="ＭＳ ゴシック" w:hAnsi="ＭＳ ゴシック" w:hint="eastAsia"/>
          <w:szCs w:val="24"/>
        </w:rPr>
        <w:t>算</w:t>
      </w:r>
      <w:r>
        <w:rPr>
          <w:rFonts w:ascii="ＭＳ ゴシック" w:eastAsia="ＭＳ ゴシック" w:hAnsi="ＭＳ ゴシック" w:hint="eastAsia"/>
          <w:szCs w:val="24"/>
        </w:rPr>
        <w:t xml:space="preserve">　</w:t>
      </w:r>
      <w:r w:rsidRPr="0062344B">
        <w:rPr>
          <w:rFonts w:ascii="ＭＳ ゴシック" w:eastAsia="ＭＳ ゴシック" w:hAnsi="ＭＳ ゴシック" w:hint="eastAsia"/>
          <w:szCs w:val="24"/>
        </w:rPr>
        <w:t>状</w:t>
      </w:r>
      <w:r>
        <w:rPr>
          <w:rFonts w:ascii="ＭＳ ゴシック" w:eastAsia="ＭＳ ゴシック" w:hAnsi="ＭＳ ゴシック" w:hint="eastAsia"/>
          <w:szCs w:val="24"/>
        </w:rPr>
        <w:t xml:space="preserve">　</w:t>
      </w:r>
      <w:r w:rsidRPr="0062344B">
        <w:rPr>
          <w:rFonts w:ascii="ＭＳ ゴシック" w:eastAsia="ＭＳ ゴシック" w:hAnsi="ＭＳ ゴシック" w:hint="eastAsia"/>
          <w:szCs w:val="24"/>
        </w:rPr>
        <w:t>況</w:t>
      </w:r>
    </w:p>
    <w:p w:rsidR="00255786" w:rsidRDefault="0062344B" w:rsidP="00E358CF">
      <w:pPr>
        <w:spacing w:line="240" w:lineRule="auto"/>
        <w:ind w:firstLineChars="3250" w:firstLine="7800"/>
        <w:rPr>
          <w:rFonts w:hAnsi="ＭＳ 明朝"/>
          <w:szCs w:val="24"/>
        </w:rPr>
      </w:pPr>
      <w:r>
        <w:rPr>
          <w:rFonts w:hAnsi="ＭＳ 明朝" w:hint="eastAsia"/>
          <w:szCs w:val="24"/>
        </w:rPr>
        <w:t>（単位：千円・％）</w:t>
      </w:r>
    </w:p>
    <w:bookmarkStart w:id="1" w:name="_MON_1438691926"/>
    <w:bookmarkEnd w:id="1"/>
    <w:p w:rsidR="008463AA" w:rsidRDefault="001D683C" w:rsidP="00737779">
      <w:pPr>
        <w:spacing w:line="240" w:lineRule="auto"/>
        <w:rPr>
          <w:rFonts w:hAnsi="ＭＳ 明朝"/>
          <w:szCs w:val="24"/>
        </w:rPr>
      </w:pPr>
      <w:r w:rsidRPr="0020002D">
        <w:rPr>
          <w:rFonts w:hAnsi="ＭＳ 明朝"/>
          <w:szCs w:val="24"/>
        </w:rPr>
        <w:object w:dxaOrig="10035" w:dyaOrig="8880">
          <v:shape id="_x0000_i1026" type="#_x0000_t75" style="width:477.1pt;height:402.55pt" o:ole="">
            <v:imagedata r:id="rId10" o:title=""/>
          </v:shape>
          <o:OLEObject Type="Embed" ProgID="Excel.Sheet.12" ShapeID="_x0000_i1026" DrawAspect="Content" ObjectID="_1540119610" r:id="rId11"/>
        </w:object>
      </w:r>
    </w:p>
    <w:p w:rsidR="00737779" w:rsidRDefault="00737779" w:rsidP="00737779">
      <w:pPr>
        <w:spacing w:line="240" w:lineRule="auto"/>
        <w:rPr>
          <w:rFonts w:hAnsi="ＭＳ 明朝"/>
          <w:szCs w:val="24"/>
        </w:rPr>
      </w:pPr>
    </w:p>
    <w:p w:rsidR="00796611" w:rsidRPr="007F6F37" w:rsidRDefault="00796611" w:rsidP="002D62AE">
      <w:pPr>
        <w:kinsoku w:val="0"/>
        <w:overflowPunct w:val="0"/>
        <w:snapToGrid w:val="0"/>
        <w:spacing w:line="240" w:lineRule="auto"/>
        <w:ind w:firstLineChars="100" w:firstLine="240"/>
        <w:rPr>
          <w:rFonts w:hAnsi="ＭＳ 明朝"/>
          <w:szCs w:val="24"/>
        </w:rPr>
      </w:pPr>
      <w:r w:rsidRPr="007F6F37">
        <w:rPr>
          <w:rFonts w:hAnsi="ＭＳ 明朝" w:hint="eastAsia"/>
          <w:szCs w:val="24"/>
        </w:rPr>
        <w:t>総務費の減少の主な要因は</w:t>
      </w:r>
      <w:r w:rsidR="00164CD8">
        <w:rPr>
          <w:rFonts w:hAnsi="ＭＳ 明朝" w:hint="eastAsia"/>
          <w:szCs w:val="24"/>
        </w:rPr>
        <w:t>、</w:t>
      </w:r>
      <w:r w:rsidR="008F7EDB">
        <w:rPr>
          <w:rFonts w:hAnsi="ＭＳ 明朝" w:hint="eastAsia"/>
          <w:szCs w:val="24"/>
        </w:rPr>
        <w:t>藤子・Ｆ・不二雄ふるさとギャラリー</w:t>
      </w:r>
      <w:r w:rsidR="0083230F">
        <w:rPr>
          <w:rFonts w:hAnsi="ＭＳ 明朝" w:hint="eastAsia"/>
          <w:szCs w:val="24"/>
        </w:rPr>
        <w:t>(</w:t>
      </w:r>
      <w:r w:rsidR="008F7EDB">
        <w:rPr>
          <w:rFonts w:hAnsi="ＭＳ 明朝" w:hint="eastAsia"/>
          <w:szCs w:val="24"/>
        </w:rPr>
        <w:t>仮称</w:t>
      </w:r>
      <w:r w:rsidR="0083230F">
        <w:rPr>
          <w:rFonts w:hAnsi="ＭＳ 明朝" w:hint="eastAsia"/>
          <w:szCs w:val="24"/>
        </w:rPr>
        <w:t>)</w:t>
      </w:r>
      <w:r w:rsidR="008F7EDB">
        <w:rPr>
          <w:rFonts w:hAnsi="ＭＳ 明朝" w:hint="eastAsia"/>
          <w:szCs w:val="24"/>
        </w:rPr>
        <w:t>開設</w:t>
      </w:r>
      <w:r w:rsidR="00164CD8">
        <w:rPr>
          <w:rFonts w:hAnsi="ＭＳ 明朝" w:hint="eastAsia"/>
          <w:szCs w:val="24"/>
        </w:rPr>
        <w:t>事業費</w:t>
      </w:r>
      <w:r w:rsidR="0083230F">
        <w:rPr>
          <w:rFonts w:hAnsi="ＭＳ 明朝" w:hint="eastAsia"/>
          <w:szCs w:val="24"/>
        </w:rPr>
        <w:t>、</w:t>
      </w:r>
      <w:r w:rsidR="008F7EDB">
        <w:rPr>
          <w:rFonts w:hAnsi="ＭＳ 明朝" w:hint="eastAsia"/>
          <w:szCs w:val="24"/>
        </w:rPr>
        <w:t>国勢調査費</w:t>
      </w:r>
      <w:r w:rsidRPr="007F6F37">
        <w:rPr>
          <w:rFonts w:hAnsi="ＭＳ 明朝" w:hint="eastAsia"/>
          <w:szCs w:val="24"/>
        </w:rPr>
        <w:t>が増加したものの、</w:t>
      </w:r>
      <w:r w:rsidR="00164CD8">
        <w:rPr>
          <w:rFonts w:hAnsi="ＭＳ 明朝" w:hint="eastAsia"/>
          <w:szCs w:val="24"/>
        </w:rPr>
        <w:t>伏木地区コミュニティ施設整備費</w:t>
      </w:r>
      <w:r w:rsidR="008F7EDB">
        <w:rPr>
          <w:rFonts w:hAnsi="ＭＳ 明朝" w:hint="eastAsia"/>
          <w:szCs w:val="24"/>
        </w:rPr>
        <w:t>、合併地域</w:t>
      </w:r>
      <w:r w:rsidR="004E2DA6">
        <w:rPr>
          <w:rFonts w:hAnsi="ＭＳ 明朝" w:hint="eastAsia"/>
          <w:szCs w:val="24"/>
        </w:rPr>
        <w:t>振興</w:t>
      </w:r>
      <w:r w:rsidR="008F7EDB">
        <w:rPr>
          <w:rFonts w:hAnsi="ＭＳ 明朝" w:hint="eastAsia"/>
          <w:szCs w:val="24"/>
        </w:rPr>
        <w:t>基金積立金、福岡駅前地域交流センター整備事業費</w:t>
      </w:r>
      <w:r w:rsidR="00164CD8">
        <w:rPr>
          <w:rFonts w:hAnsi="ＭＳ 明朝" w:hint="eastAsia"/>
          <w:szCs w:val="24"/>
        </w:rPr>
        <w:t>等</w:t>
      </w:r>
      <w:r w:rsidRPr="007F6F37">
        <w:rPr>
          <w:rFonts w:hAnsi="ＭＳ 明朝" w:hint="eastAsia"/>
          <w:szCs w:val="24"/>
        </w:rPr>
        <w:t>が減少したことによるものである。</w:t>
      </w:r>
    </w:p>
    <w:p w:rsidR="008562DE" w:rsidRPr="007F6F37" w:rsidRDefault="008F7EDB" w:rsidP="008562DE">
      <w:pPr>
        <w:kinsoku w:val="0"/>
        <w:overflowPunct w:val="0"/>
        <w:snapToGrid w:val="0"/>
        <w:spacing w:line="240" w:lineRule="auto"/>
        <w:ind w:firstLineChars="100" w:firstLine="240"/>
        <w:rPr>
          <w:rFonts w:hAnsi="ＭＳ 明朝"/>
          <w:szCs w:val="24"/>
        </w:rPr>
      </w:pPr>
      <w:r>
        <w:rPr>
          <w:rFonts w:hAnsi="ＭＳ 明朝" w:hint="eastAsia"/>
          <w:szCs w:val="24"/>
        </w:rPr>
        <w:t>商工</w:t>
      </w:r>
      <w:r w:rsidR="00796611" w:rsidRPr="007F6F37">
        <w:rPr>
          <w:rFonts w:hAnsi="ＭＳ 明朝" w:hint="eastAsia"/>
          <w:szCs w:val="24"/>
        </w:rPr>
        <w:t>費の減少の主な要因は、</w:t>
      </w:r>
      <w:r>
        <w:rPr>
          <w:rFonts w:hAnsi="ＭＳ 明朝" w:hint="eastAsia"/>
          <w:szCs w:val="24"/>
        </w:rPr>
        <w:t>プレミアム付き商品券発行支援事業費、企業立地助成金</w:t>
      </w:r>
      <w:r w:rsidR="00164CD8">
        <w:rPr>
          <w:rFonts w:hAnsi="ＭＳ 明朝" w:hint="eastAsia"/>
          <w:szCs w:val="24"/>
        </w:rPr>
        <w:t>等</w:t>
      </w:r>
      <w:r w:rsidR="005A30DA" w:rsidRPr="007F6F37">
        <w:rPr>
          <w:rFonts w:hAnsi="ＭＳ 明朝" w:hint="eastAsia"/>
          <w:szCs w:val="24"/>
        </w:rPr>
        <w:t>が増加したものの、</w:t>
      </w:r>
      <w:r w:rsidR="00954FDD">
        <w:rPr>
          <w:rFonts w:hAnsi="ＭＳ 明朝" w:hint="eastAsia"/>
          <w:szCs w:val="24"/>
        </w:rPr>
        <w:t>御車山会館建設事業費、新幹線開業対策誘客促進ＰＲ事業費</w:t>
      </w:r>
      <w:r w:rsidR="00164CD8">
        <w:rPr>
          <w:rFonts w:hAnsi="ＭＳ 明朝" w:hint="eastAsia"/>
          <w:szCs w:val="24"/>
        </w:rPr>
        <w:t>等</w:t>
      </w:r>
      <w:r w:rsidR="00CC3FCE" w:rsidRPr="007F6F37">
        <w:rPr>
          <w:rFonts w:hAnsi="ＭＳ 明朝" w:hint="eastAsia"/>
          <w:szCs w:val="24"/>
        </w:rPr>
        <w:t>が減少したことによるものである。</w:t>
      </w:r>
    </w:p>
    <w:p w:rsidR="00E44D5E" w:rsidRPr="007F6F37" w:rsidRDefault="00954FDD" w:rsidP="0042749A">
      <w:pPr>
        <w:kinsoku w:val="0"/>
        <w:overflowPunct w:val="0"/>
        <w:snapToGrid w:val="0"/>
        <w:spacing w:line="240" w:lineRule="auto"/>
        <w:ind w:firstLineChars="100" w:firstLine="240"/>
        <w:rPr>
          <w:rFonts w:hAnsi="ＭＳ 明朝"/>
          <w:szCs w:val="24"/>
        </w:rPr>
      </w:pPr>
      <w:r w:rsidRPr="0042749A">
        <w:rPr>
          <w:rFonts w:hAnsi="ＭＳ 明朝" w:hint="eastAsia"/>
          <w:szCs w:val="24"/>
        </w:rPr>
        <w:t>衛生</w:t>
      </w:r>
      <w:r w:rsidR="00A44E93" w:rsidRPr="0042749A">
        <w:rPr>
          <w:rFonts w:hAnsi="ＭＳ 明朝" w:hint="eastAsia"/>
          <w:szCs w:val="24"/>
        </w:rPr>
        <w:t>費の減少の主な要因は、</w:t>
      </w:r>
      <w:r w:rsidRPr="0042749A">
        <w:rPr>
          <w:rFonts w:hAnsi="ＭＳ 明朝" w:hint="eastAsia"/>
          <w:szCs w:val="24"/>
        </w:rPr>
        <w:t>ごみ収集事業費、市民病院事業会計</w:t>
      </w:r>
      <w:r w:rsidR="004E2DA6" w:rsidRPr="0042749A">
        <w:rPr>
          <w:rFonts w:hAnsi="ＭＳ 明朝" w:hint="eastAsia"/>
          <w:szCs w:val="24"/>
        </w:rPr>
        <w:t>繰出金</w:t>
      </w:r>
      <w:r w:rsidR="00164CD8" w:rsidRPr="0042749A">
        <w:rPr>
          <w:rFonts w:hAnsi="ＭＳ 明朝" w:hint="eastAsia"/>
          <w:szCs w:val="24"/>
        </w:rPr>
        <w:t>等</w:t>
      </w:r>
      <w:r w:rsidR="0016574A" w:rsidRPr="0042749A">
        <w:rPr>
          <w:rFonts w:hAnsi="ＭＳ 明朝" w:hint="eastAsia"/>
          <w:szCs w:val="24"/>
        </w:rPr>
        <w:t>が増加した</w:t>
      </w:r>
      <w:r w:rsidR="0016574A">
        <w:rPr>
          <w:rFonts w:hAnsi="ＭＳ 明朝" w:hint="eastAsia"/>
          <w:szCs w:val="24"/>
        </w:rPr>
        <w:t>ものの、</w:t>
      </w:r>
      <w:r>
        <w:rPr>
          <w:rFonts w:hAnsi="ＭＳ 明朝" w:hint="eastAsia"/>
          <w:szCs w:val="24"/>
        </w:rPr>
        <w:t>環境クリーン工場施設管理費、ごみ減量化・資源化促進事業費</w:t>
      </w:r>
      <w:r w:rsidR="00164CD8">
        <w:rPr>
          <w:rFonts w:hAnsi="ＭＳ 明朝" w:hint="eastAsia"/>
          <w:szCs w:val="24"/>
        </w:rPr>
        <w:t>等</w:t>
      </w:r>
      <w:r w:rsidR="00A44E93" w:rsidRPr="007F6F37">
        <w:rPr>
          <w:rFonts w:hAnsi="ＭＳ 明朝" w:hint="eastAsia"/>
          <w:szCs w:val="24"/>
        </w:rPr>
        <w:t>が減少したことによるものである。</w:t>
      </w:r>
    </w:p>
    <w:p w:rsidR="002D62AE" w:rsidRPr="00E44D5E" w:rsidRDefault="00F8340E" w:rsidP="002D62AE">
      <w:pPr>
        <w:spacing w:line="240" w:lineRule="auto"/>
        <w:rPr>
          <w:rFonts w:hAnsi="ＭＳ 明朝"/>
          <w:szCs w:val="24"/>
        </w:rPr>
      </w:pPr>
      <w:r>
        <w:rPr>
          <w:rFonts w:hAnsi="ＭＳ 明朝" w:hint="eastAsia"/>
          <w:szCs w:val="24"/>
        </w:rPr>
        <w:t xml:space="preserve">　農林水産業費の増加の主な要因は、農地・水保全管理支払交付金事業費等が減少したものの、農地利用集積事業費や</w:t>
      </w:r>
      <w:r w:rsidR="00952E82">
        <w:rPr>
          <w:rFonts w:hAnsi="ＭＳ 明朝" w:hint="eastAsia"/>
          <w:szCs w:val="24"/>
        </w:rPr>
        <w:t>多面</w:t>
      </w:r>
      <w:r>
        <w:rPr>
          <w:rFonts w:hAnsi="ＭＳ 明朝" w:hint="eastAsia"/>
          <w:szCs w:val="24"/>
        </w:rPr>
        <w:t>的機能支払支援事業費が増加したことによるものである。</w:t>
      </w:r>
    </w:p>
    <w:p w:rsidR="002D62AE" w:rsidRDefault="002D62AE" w:rsidP="00DC50CB">
      <w:pPr>
        <w:spacing w:line="240" w:lineRule="auto"/>
        <w:rPr>
          <w:rFonts w:hAnsi="ＭＳ 明朝"/>
          <w:szCs w:val="24"/>
        </w:rPr>
      </w:pPr>
    </w:p>
    <w:p w:rsidR="00675679" w:rsidRDefault="00675679" w:rsidP="00DC50CB">
      <w:pPr>
        <w:spacing w:line="240" w:lineRule="auto"/>
        <w:rPr>
          <w:rFonts w:hAnsi="ＭＳ 明朝"/>
          <w:szCs w:val="24"/>
        </w:rPr>
      </w:pPr>
    </w:p>
    <w:p w:rsidR="00675679" w:rsidRDefault="00675679" w:rsidP="00DC50CB">
      <w:pPr>
        <w:spacing w:line="240" w:lineRule="auto"/>
        <w:rPr>
          <w:rFonts w:hAnsi="ＭＳ 明朝"/>
          <w:szCs w:val="24"/>
        </w:rPr>
      </w:pPr>
    </w:p>
    <w:p w:rsidR="00935FD8" w:rsidRDefault="00935FD8" w:rsidP="00DC50CB">
      <w:pPr>
        <w:spacing w:line="240" w:lineRule="auto"/>
        <w:rPr>
          <w:rFonts w:hAnsi="ＭＳ 明朝"/>
          <w:szCs w:val="24"/>
        </w:rPr>
      </w:pPr>
    </w:p>
    <w:p w:rsidR="00A365E6" w:rsidRPr="00A365E6" w:rsidRDefault="002D62AE" w:rsidP="00954FDD">
      <w:pPr>
        <w:kinsoku w:val="0"/>
        <w:overflowPunct w:val="0"/>
        <w:snapToGrid w:val="0"/>
        <w:spacing w:line="240" w:lineRule="auto"/>
        <w:ind w:right="240"/>
        <w:jc w:val="right"/>
        <w:rPr>
          <w:rFonts w:ascii="ＭＳ ゴシック" w:eastAsia="ＭＳ ゴシック" w:hAnsi="ＭＳ ゴシック"/>
          <w:szCs w:val="24"/>
        </w:rPr>
      </w:pPr>
      <w:r w:rsidRPr="00A365E6">
        <w:rPr>
          <w:rFonts w:ascii="ＭＳ ゴシック" w:eastAsia="ＭＳ ゴシック" w:hAnsi="ＭＳ ゴシック" w:hint="eastAsia"/>
          <w:szCs w:val="24"/>
        </w:rPr>
        <w:lastRenderedPageBreak/>
        <w:t>一　般　会　計　歳　出　款　別</w:t>
      </w:r>
    </w:p>
    <w:p w:rsidR="00A365E6" w:rsidRDefault="00A365E6" w:rsidP="00A365E6">
      <w:pPr>
        <w:kinsoku w:val="0"/>
        <w:overflowPunct w:val="0"/>
        <w:snapToGrid w:val="0"/>
        <w:spacing w:line="240" w:lineRule="auto"/>
        <w:rPr>
          <w:rFonts w:hAnsi="ＭＳ 明朝" w:hint="eastAsia"/>
          <w:szCs w:val="24"/>
        </w:rPr>
      </w:pPr>
    </w:p>
    <w:p w:rsidR="00686751" w:rsidRPr="00A365E6" w:rsidRDefault="00686751" w:rsidP="00A365E6">
      <w:pPr>
        <w:kinsoku w:val="0"/>
        <w:overflowPunct w:val="0"/>
        <w:snapToGrid w:val="0"/>
        <w:spacing w:line="240" w:lineRule="auto"/>
        <w:rPr>
          <w:rFonts w:hAnsi="ＭＳ 明朝"/>
          <w:szCs w:val="24"/>
        </w:rPr>
      </w:pPr>
    </w:p>
    <w:bookmarkStart w:id="2" w:name="_MON_1439014604"/>
    <w:bookmarkEnd w:id="2"/>
    <w:p w:rsidR="002D62AE" w:rsidRPr="00A365E6" w:rsidRDefault="008915FE" w:rsidP="002D62AE">
      <w:pPr>
        <w:kinsoku w:val="0"/>
        <w:overflowPunct w:val="0"/>
        <w:snapToGrid w:val="0"/>
        <w:spacing w:line="240" w:lineRule="auto"/>
        <w:rPr>
          <w:rFonts w:hAnsi="ＭＳ 明朝"/>
          <w:szCs w:val="24"/>
        </w:rPr>
      </w:pPr>
      <w:r w:rsidRPr="00A365E6">
        <w:rPr>
          <w:rFonts w:hAnsi="ＭＳ 明朝"/>
          <w:szCs w:val="24"/>
        </w:rPr>
        <w:object w:dxaOrig="10174" w:dyaOrig="12784">
          <v:shape id="_x0000_i1027" type="#_x0000_t75" style="width:482.1pt;height:634.25pt" o:ole="">
            <v:imagedata r:id="rId12" o:title=""/>
          </v:shape>
          <o:OLEObject Type="Embed" ProgID="Excel.Sheet.12" ShapeID="_x0000_i1027" DrawAspect="Content" ObjectID="_1540119611" r:id="rId13"/>
        </w:object>
      </w:r>
    </w:p>
    <w:p w:rsidR="002D62AE" w:rsidRDefault="002D62AE" w:rsidP="002D62AE">
      <w:pPr>
        <w:kinsoku w:val="0"/>
        <w:overflowPunct w:val="0"/>
        <w:snapToGrid w:val="0"/>
        <w:spacing w:line="240" w:lineRule="auto"/>
        <w:rPr>
          <w:rFonts w:hAnsi="ＭＳ 明朝"/>
          <w:szCs w:val="24"/>
        </w:rPr>
      </w:pPr>
    </w:p>
    <w:p w:rsidR="00DC60DF" w:rsidRDefault="00DC60DF" w:rsidP="002D62AE">
      <w:pPr>
        <w:kinsoku w:val="0"/>
        <w:overflowPunct w:val="0"/>
        <w:snapToGrid w:val="0"/>
        <w:spacing w:line="240" w:lineRule="auto"/>
        <w:rPr>
          <w:rFonts w:hAnsi="ＭＳ 明朝"/>
          <w:szCs w:val="24"/>
        </w:rPr>
      </w:pPr>
    </w:p>
    <w:p w:rsidR="002D62AE" w:rsidRPr="00A365E6" w:rsidRDefault="00A365E6" w:rsidP="00A365E6">
      <w:pPr>
        <w:kinsoku w:val="0"/>
        <w:overflowPunct w:val="0"/>
        <w:snapToGrid w:val="0"/>
        <w:spacing w:line="240" w:lineRule="auto"/>
        <w:ind w:firstLineChars="100" w:firstLine="240"/>
        <w:rPr>
          <w:rFonts w:ascii="ＭＳ ゴシック" w:eastAsia="ＭＳ ゴシック" w:hAnsi="ＭＳ ゴシック"/>
          <w:szCs w:val="24"/>
        </w:rPr>
      </w:pPr>
      <w:r w:rsidRPr="00A365E6">
        <w:rPr>
          <w:rFonts w:ascii="ＭＳ ゴシック" w:eastAsia="ＭＳ ゴシック" w:hAnsi="ＭＳ ゴシック" w:hint="eastAsia"/>
          <w:szCs w:val="24"/>
        </w:rPr>
        <w:t>・</w:t>
      </w:r>
      <w:r>
        <w:rPr>
          <w:rFonts w:ascii="ＭＳ ゴシック" w:eastAsia="ＭＳ ゴシック" w:hAnsi="ＭＳ ゴシック" w:hint="eastAsia"/>
          <w:szCs w:val="24"/>
        </w:rPr>
        <w:t xml:space="preserve">　</w:t>
      </w:r>
      <w:r w:rsidRPr="00A365E6">
        <w:rPr>
          <w:rFonts w:ascii="ＭＳ ゴシック" w:eastAsia="ＭＳ ゴシック" w:hAnsi="ＭＳ ゴシック" w:hint="eastAsia"/>
          <w:szCs w:val="24"/>
        </w:rPr>
        <w:t>節</w:t>
      </w:r>
      <w:r>
        <w:rPr>
          <w:rFonts w:ascii="ＭＳ ゴシック" w:eastAsia="ＭＳ ゴシック" w:hAnsi="ＭＳ ゴシック" w:hint="eastAsia"/>
          <w:szCs w:val="24"/>
        </w:rPr>
        <w:t xml:space="preserve">　</w:t>
      </w:r>
      <w:r w:rsidRPr="00A365E6">
        <w:rPr>
          <w:rFonts w:ascii="ＭＳ ゴシック" w:eastAsia="ＭＳ ゴシック" w:hAnsi="ＭＳ ゴシック" w:hint="eastAsia"/>
          <w:szCs w:val="24"/>
        </w:rPr>
        <w:t>別</w:t>
      </w:r>
      <w:r>
        <w:rPr>
          <w:rFonts w:ascii="ＭＳ ゴシック" w:eastAsia="ＭＳ ゴシック" w:hAnsi="ＭＳ ゴシック" w:hint="eastAsia"/>
          <w:szCs w:val="24"/>
        </w:rPr>
        <w:t xml:space="preserve">　</w:t>
      </w:r>
      <w:r w:rsidRPr="00A365E6">
        <w:rPr>
          <w:rFonts w:ascii="ＭＳ ゴシック" w:eastAsia="ＭＳ ゴシック" w:hAnsi="ＭＳ ゴシック" w:hint="eastAsia"/>
          <w:szCs w:val="24"/>
        </w:rPr>
        <w:t>一</w:t>
      </w:r>
      <w:r>
        <w:rPr>
          <w:rFonts w:ascii="ＭＳ ゴシック" w:eastAsia="ＭＳ ゴシック" w:hAnsi="ＭＳ ゴシック" w:hint="eastAsia"/>
          <w:szCs w:val="24"/>
        </w:rPr>
        <w:t xml:space="preserve">　</w:t>
      </w:r>
      <w:r w:rsidRPr="00A365E6">
        <w:rPr>
          <w:rFonts w:ascii="ＭＳ ゴシック" w:eastAsia="ＭＳ ゴシック" w:hAnsi="ＭＳ ゴシック" w:hint="eastAsia"/>
          <w:szCs w:val="24"/>
        </w:rPr>
        <w:t>覧</w:t>
      </w:r>
      <w:r>
        <w:rPr>
          <w:rFonts w:ascii="ＭＳ ゴシック" w:eastAsia="ＭＳ ゴシック" w:hAnsi="ＭＳ ゴシック" w:hint="eastAsia"/>
          <w:szCs w:val="24"/>
        </w:rPr>
        <w:t xml:space="preserve">　</w:t>
      </w:r>
      <w:r w:rsidRPr="00A365E6">
        <w:rPr>
          <w:rFonts w:ascii="ＭＳ ゴシック" w:eastAsia="ＭＳ ゴシック" w:hAnsi="ＭＳ ゴシック" w:hint="eastAsia"/>
          <w:szCs w:val="24"/>
        </w:rPr>
        <w:t>表</w:t>
      </w:r>
    </w:p>
    <w:p w:rsidR="00A365E6" w:rsidRPr="004D0199" w:rsidRDefault="00A365E6" w:rsidP="00372608">
      <w:pPr>
        <w:kinsoku w:val="0"/>
        <w:overflowPunct w:val="0"/>
        <w:snapToGrid w:val="0"/>
        <w:spacing w:line="240" w:lineRule="auto"/>
        <w:ind w:firstLineChars="3300" w:firstLine="7590"/>
        <w:jc w:val="right"/>
        <w:rPr>
          <w:rFonts w:hAnsi="ＭＳ 明朝"/>
          <w:sz w:val="23"/>
          <w:szCs w:val="23"/>
        </w:rPr>
      </w:pPr>
      <w:r w:rsidRPr="004D0199">
        <w:rPr>
          <w:rFonts w:hAnsi="ＭＳ 明朝" w:hint="eastAsia"/>
          <w:sz w:val="23"/>
          <w:szCs w:val="23"/>
        </w:rPr>
        <w:t>（単位：千円・％）</w:t>
      </w:r>
    </w:p>
    <w:bookmarkStart w:id="3" w:name="_MON_1439031668"/>
    <w:bookmarkEnd w:id="3"/>
    <w:p w:rsidR="00304CBC" w:rsidRPr="00D10EA7" w:rsidRDefault="002273E9" w:rsidP="00D10EA7">
      <w:pPr>
        <w:kinsoku w:val="0"/>
        <w:overflowPunct w:val="0"/>
        <w:snapToGrid w:val="0"/>
        <w:spacing w:line="240" w:lineRule="auto"/>
        <w:rPr>
          <w:sz w:val="20"/>
        </w:rPr>
      </w:pPr>
      <w:r w:rsidRPr="0020002D">
        <w:rPr>
          <w:rFonts w:hAnsi="ＭＳ 明朝"/>
          <w:szCs w:val="24"/>
        </w:rPr>
        <w:object w:dxaOrig="9470" w:dyaOrig="12784">
          <v:shape id="_x0000_i1028" type="#_x0000_t75" style="width:479.6pt;height:632.95pt" o:ole="">
            <v:imagedata r:id="rId14" o:title=""/>
          </v:shape>
          <o:OLEObject Type="Embed" ProgID="Excel.Sheet.12" ShapeID="_x0000_i1028" DrawAspect="Content" ObjectID="_1540119612" r:id="rId15"/>
        </w:object>
      </w:r>
      <w:bookmarkStart w:id="4" w:name="_GoBack"/>
      <w:bookmarkEnd w:id="4"/>
    </w:p>
    <w:p w:rsidR="00765420" w:rsidRDefault="00765420" w:rsidP="00304CBC">
      <w:pPr>
        <w:kinsoku w:val="0"/>
        <w:overflowPunct w:val="0"/>
        <w:snapToGrid w:val="0"/>
        <w:spacing w:line="240" w:lineRule="auto"/>
        <w:ind w:firstLineChars="200" w:firstLine="536"/>
        <w:rPr>
          <w:rFonts w:ascii="ＭＳ ゴシック" w:eastAsia="ＭＳ ゴシック" w:hAnsi="ＭＳ ゴシック"/>
          <w:spacing w:val="14"/>
          <w:kern w:val="2"/>
          <w:szCs w:val="24"/>
        </w:rPr>
      </w:pPr>
    </w:p>
    <w:p w:rsidR="00765420" w:rsidRDefault="00765420" w:rsidP="00304CBC">
      <w:pPr>
        <w:kinsoku w:val="0"/>
        <w:overflowPunct w:val="0"/>
        <w:snapToGrid w:val="0"/>
        <w:spacing w:line="240" w:lineRule="auto"/>
        <w:ind w:firstLineChars="200" w:firstLine="536"/>
        <w:rPr>
          <w:rFonts w:ascii="ＭＳ ゴシック" w:eastAsia="ＭＳ ゴシック" w:hAnsi="ＭＳ ゴシック"/>
          <w:spacing w:val="14"/>
          <w:kern w:val="2"/>
          <w:szCs w:val="24"/>
        </w:rPr>
      </w:pPr>
    </w:p>
    <w:p w:rsidR="00253F9B" w:rsidRDefault="00253F9B" w:rsidP="00304CBC">
      <w:pPr>
        <w:kinsoku w:val="0"/>
        <w:overflowPunct w:val="0"/>
        <w:snapToGrid w:val="0"/>
        <w:spacing w:line="240" w:lineRule="auto"/>
        <w:ind w:firstLineChars="200" w:firstLine="536"/>
        <w:rPr>
          <w:rFonts w:ascii="ＭＳ ゴシック" w:eastAsia="ＭＳ ゴシック" w:hAnsi="ＭＳ ゴシック"/>
          <w:spacing w:val="14"/>
          <w:kern w:val="2"/>
          <w:szCs w:val="24"/>
        </w:rPr>
      </w:pPr>
    </w:p>
    <w:p w:rsidR="00253F9B" w:rsidRDefault="00253F9B" w:rsidP="00304CBC">
      <w:pPr>
        <w:kinsoku w:val="0"/>
        <w:overflowPunct w:val="0"/>
        <w:snapToGrid w:val="0"/>
        <w:spacing w:line="240" w:lineRule="auto"/>
        <w:ind w:firstLineChars="200" w:firstLine="536"/>
        <w:rPr>
          <w:rFonts w:ascii="ＭＳ ゴシック" w:eastAsia="ＭＳ ゴシック" w:hAnsi="ＭＳ ゴシック"/>
          <w:spacing w:val="14"/>
          <w:kern w:val="2"/>
          <w:szCs w:val="24"/>
        </w:rPr>
      </w:pPr>
    </w:p>
    <w:p w:rsidR="00304CBC" w:rsidRPr="00270726" w:rsidRDefault="00304CBC" w:rsidP="00304CBC">
      <w:pPr>
        <w:kinsoku w:val="0"/>
        <w:overflowPunct w:val="0"/>
        <w:snapToGrid w:val="0"/>
        <w:spacing w:line="240" w:lineRule="auto"/>
        <w:ind w:firstLineChars="200" w:firstLine="536"/>
        <w:rPr>
          <w:rFonts w:ascii="ＭＳ ゴシック" w:eastAsia="ＭＳ ゴシック" w:hAnsi="ＭＳ ゴシック"/>
          <w:spacing w:val="14"/>
          <w:kern w:val="2"/>
          <w:szCs w:val="24"/>
        </w:rPr>
      </w:pPr>
      <w:r w:rsidRPr="00270726">
        <w:rPr>
          <w:rFonts w:ascii="ＭＳ ゴシック" w:eastAsia="ＭＳ ゴシック" w:hAnsi="ＭＳ ゴシック" w:hint="eastAsia"/>
          <w:spacing w:val="14"/>
          <w:kern w:val="2"/>
          <w:szCs w:val="24"/>
        </w:rPr>
        <w:t>⑵　繰出金の状況</w:t>
      </w:r>
    </w:p>
    <w:p w:rsidR="00304CBC" w:rsidRDefault="00164CD8" w:rsidP="00164CD8">
      <w:pPr>
        <w:kinsoku w:val="0"/>
        <w:overflowPunct w:val="0"/>
        <w:snapToGrid w:val="0"/>
        <w:spacing w:line="240" w:lineRule="auto"/>
        <w:ind w:leftChars="300" w:left="720" w:firstLineChars="100" w:firstLine="270"/>
        <w:rPr>
          <w:rFonts w:hAnsi="ＭＳ 明朝"/>
          <w:spacing w:val="14"/>
          <w:kern w:val="2"/>
          <w:szCs w:val="24"/>
        </w:rPr>
      </w:pPr>
      <w:r w:rsidRPr="00164CD8">
        <w:rPr>
          <w:rFonts w:hAnsi="ＭＳ 明朝" w:hint="eastAsia"/>
          <w:spacing w:val="15"/>
          <w:szCs w:val="24"/>
          <w:fitText w:val="8640" w:id="941934336"/>
        </w:rPr>
        <w:t>特別会計への繰出金は、国民健康保険事業会計等</w:t>
      </w:r>
      <w:r w:rsidR="00304CBC" w:rsidRPr="00164CD8">
        <w:rPr>
          <w:rFonts w:hAnsi="ＭＳ 明朝" w:hint="eastAsia"/>
          <w:spacing w:val="15"/>
          <w:szCs w:val="24"/>
          <w:fitText w:val="8640" w:id="941934336"/>
        </w:rPr>
        <w:t>の５事業会計に対して</w:t>
      </w:r>
    </w:p>
    <w:p w:rsidR="00304CBC" w:rsidRPr="00E34F00" w:rsidRDefault="00304CBC" w:rsidP="00894C15">
      <w:pPr>
        <w:kinsoku w:val="0"/>
        <w:overflowPunct w:val="0"/>
        <w:snapToGrid w:val="0"/>
        <w:spacing w:line="240" w:lineRule="auto"/>
        <w:ind w:leftChars="300" w:left="720"/>
        <w:rPr>
          <w:rFonts w:hAnsi="ＭＳ 明朝"/>
          <w:spacing w:val="8"/>
          <w:kern w:val="2"/>
          <w:szCs w:val="24"/>
        </w:rPr>
      </w:pPr>
      <w:r>
        <w:rPr>
          <w:rFonts w:hAnsi="ＭＳ 明朝" w:hint="eastAsia"/>
          <w:spacing w:val="14"/>
          <w:kern w:val="2"/>
          <w:szCs w:val="24"/>
        </w:rPr>
        <w:t>4,</w:t>
      </w:r>
      <w:r w:rsidR="00C76C6A">
        <w:rPr>
          <w:rFonts w:hAnsi="ＭＳ 明朝" w:hint="eastAsia"/>
          <w:spacing w:val="14"/>
          <w:kern w:val="2"/>
          <w:szCs w:val="24"/>
        </w:rPr>
        <w:t>430,683</w:t>
      </w:r>
      <w:r>
        <w:rPr>
          <w:rFonts w:hAnsi="ＭＳ 明朝" w:hint="eastAsia"/>
          <w:spacing w:val="14"/>
          <w:kern w:val="2"/>
          <w:szCs w:val="24"/>
        </w:rPr>
        <w:t>千</w:t>
      </w:r>
      <w:r w:rsidRPr="00BE10FE">
        <w:rPr>
          <w:rFonts w:hAnsi="ＭＳ 明朝" w:hint="eastAsia"/>
          <w:spacing w:val="14"/>
          <w:kern w:val="2"/>
          <w:szCs w:val="24"/>
        </w:rPr>
        <w:t>円</w:t>
      </w:r>
      <w:r>
        <w:rPr>
          <w:rFonts w:hAnsi="ＭＳ 明朝" w:hint="eastAsia"/>
          <w:spacing w:val="8"/>
          <w:kern w:val="2"/>
          <w:szCs w:val="24"/>
        </w:rPr>
        <w:t>を繰</w:t>
      </w:r>
      <w:r w:rsidR="00EF416C">
        <w:rPr>
          <w:rFonts w:hAnsi="ＭＳ 明朝" w:hint="eastAsia"/>
          <w:spacing w:val="8"/>
          <w:kern w:val="2"/>
          <w:szCs w:val="24"/>
        </w:rPr>
        <w:t>り</w:t>
      </w:r>
      <w:r w:rsidRPr="00BE10FE">
        <w:rPr>
          <w:rFonts w:hAnsi="ＭＳ 明朝" w:hint="eastAsia"/>
          <w:spacing w:val="8"/>
          <w:kern w:val="2"/>
          <w:szCs w:val="24"/>
        </w:rPr>
        <w:t>出しており、前年度に比べ</w:t>
      </w:r>
      <w:r w:rsidR="00C76C6A">
        <w:rPr>
          <w:rFonts w:hAnsi="ＭＳ 明朝" w:hint="eastAsia"/>
          <w:spacing w:val="8"/>
          <w:kern w:val="2"/>
          <w:szCs w:val="24"/>
        </w:rPr>
        <w:t>338,239</w:t>
      </w:r>
      <w:r w:rsidRPr="00BE10FE">
        <w:rPr>
          <w:rFonts w:hAnsi="ＭＳ 明朝" w:hint="eastAsia"/>
          <w:spacing w:val="8"/>
          <w:kern w:val="2"/>
          <w:szCs w:val="24"/>
        </w:rPr>
        <w:t>千円</w:t>
      </w:r>
      <w:r>
        <w:rPr>
          <w:rFonts w:hAnsi="ＭＳ 明朝" w:hint="eastAsia"/>
          <w:spacing w:val="8"/>
          <w:kern w:val="2"/>
          <w:szCs w:val="24"/>
        </w:rPr>
        <w:t>(</w:t>
      </w:r>
      <w:r w:rsidR="00C76C6A">
        <w:rPr>
          <w:rFonts w:hAnsi="ＭＳ 明朝" w:hint="eastAsia"/>
          <w:spacing w:val="8"/>
          <w:kern w:val="2"/>
          <w:szCs w:val="24"/>
        </w:rPr>
        <w:t>8.3</w:t>
      </w:r>
      <w:r w:rsidRPr="00BE10FE">
        <w:rPr>
          <w:rFonts w:hAnsi="ＭＳ 明朝" w:hint="eastAsia"/>
          <w:spacing w:val="8"/>
          <w:kern w:val="2"/>
          <w:szCs w:val="24"/>
        </w:rPr>
        <w:t>％)</w:t>
      </w:r>
      <w:r w:rsidR="00863F42">
        <w:rPr>
          <w:rFonts w:hAnsi="ＭＳ 明朝" w:hint="eastAsia"/>
          <w:spacing w:val="8"/>
          <w:kern w:val="2"/>
          <w:szCs w:val="24"/>
        </w:rPr>
        <w:t>増加</w:t>
      </w:r>
      <w:r>
        <w:rPr>
          <w:rFonts w:hAnsi="ＭＳ 明朝" w:hint="eastAsia"/>
          <w:spacing w:val="8"/>
          <w:kern w:val="2"/>
          <w:szCs w:val="24"/>
        </w:rPr>
        <w:t>し</w:t>
      </w:r>
      <w:r w:rsidRPr="00BE10FE">
        <w:rPr>
          <w:rFonts w:hAnsi="ＭＳ 明朝" w:hint="eastAsia"/>
          <w:spacing w:val="8"/>
          <w:kern w:val="2"/>
          <w:szCs w:val="24"/>
        </w:rPr>
        <w:t>ている。</w:t>
      </w:r>
    </w:p>
    <w:p w:rsidR="00C76C6A" w:rsidRDefault="00304CBC" w:rsidP="00C76C6A">
      <w:pPr>
        <w:kinsoku w:val="0"/>
        <w:overflowPunct w:val="0"/>
        <w:snapToGrid w:val="0"/>
        <w:spacing w:line="240" w:lineRule="auto"/>
        <w:ind w:leftChars="100" w:left="740" w:hangingChars="250" w:hanging="500"/>
        <w:jc w:val="left"/>
        <w:rPr>
          <w:rFonts w:hAnsi="ＭＳ 明朝"/>
          <w:szCs w:val="24"/>
        </w:rPr>
      </w:pPr>
      <w:r w:rsidRPr="00863F42">
        <w:rPr>
          <w:rFonts w:hAnsi="ＭＳ 明朝" w:hint="eastAsia"/>
          <w:spacing w:val="-20"/>
          <w:szCs w:val="24"/>
        </w:rPr>
        <w:t xml:space="preserve">　</w:t>
      </w:r>
      <w:r w:rsidR="00863F42" w:rsidRPr="00863F42">
        <w:rPr>
          <w:rFonts w:hAnsi="ＭＳ 明朝" w:hint="eastAsia"/>
          <w:spacing w:val="-20"/>
          <w:szCs w:val="24"/>
        </w:rPr>
        <w:t xml:space="preserve">　　</w:t>
      </w:r>
      <w:r w:rsidR="00894C15">
        <w:rPr>
          <w:rFonts w:hAnsi="ＭＳ 明朝" w:hint="eastAsia"/>
          <w:spacing w:val="-20"/>
          <w:szCs w:val="24"/>
        </w:rPr>
        <w:t xml:space="preserve"> </w:t>
      </w:r>
      <w:r w:rsidR="00863F42" w:rsidRPr="00533946">
        <w:rPr>
          <w:rFonts w:hAnsi="ＭＳ 明朝" w:hint="eastAsia"/>
          <w:szCs w:val="24"/>
        </w:rPr>
        <w:t>これは主に、</w:t>
      </w:r>
      <w:r w:rsidR="00C76C6A">
        <w:rPr>
          <w:rFonts w:hAnsi="ＭＳ 明朝" w:hint="eastAsia"/>
          <w:szCs w:val="24"/>
        </w:rPr>
        <w:t>工業団地造成</w:t>
      </w:r>
      <w:r w:rsidR="00863F42" w:rsidRPr="00533946">
        <w:rPr>
          <w:rFonts w:hAnsi="ＭＳ 明朝" w:hint="eastAsia"/>
          <w:szCs w:val="24"/>
        </w:rPr>
        <w:t>事業会計で</w:t>
      </w:r>
      <w:r w:rsidR="00C76C6A">
        <w:rPr>
          <w:rFonts w:hAnsi="ＭＳ 明朝" w:hint="eastAsia"/>
          <w:szCs w:val="24"/>
        </w:rPr>
        <w:t>603</w:t>
      </w:r>
      <w:r w:rsidR="00863F42" w:rsidRPr="00533946">
        <w:rPr>
          <w:rFonts w:hAnsi="ＭＳ 明朝" w:hint="eastAsia"/>
          <w:szCs w:val="24"/>
        </w:rPr>
        <w:t>千円(△</w:t>
      </w:r>
      <w:r w:rsidR="00C76C6A">
        <w:rPr>
          <w:rFonts w:hAnsi="ＭＳ 明朝" w:hint="eastAsia"/>
          <w:szCs w:val="24"/>
        </w:rPr>
        <w:t>2.2</w:t>
      </w:r>
      <w:r w:rsidR="00863F42" w:rsidRPr="00533946">
        <w:rPr>
          <w:rFonts w:hAnsi="ＭＳ 明朝" w:hint="eastAsia"/>
          <w:szCs w:val="24"/>
        </w:rPr>
        <w:t>％)減少したものの、</w:t>
      </w:r>
      <w:r w:rsidR="00C25DBA" w:rsidRPr="00C25DBA">
        <w:rPr>
          <w:rFonts w:hAnsi="ＭＳ 明朝" w:hint="eastAsia"/>
          <w:szCs w:val="24"/>
        </w:rPr>
        <w:t>国民健康保険事業会計で134,317千円(11.6</w:t>
      </w:r>
      <w:r w:rsidR="00C25DBA">
        <w:rPr>
          <w:rFonts w:hAnsi="ＭＳ 明朝" w:hint="eastAsia"/>
          <w:szCs w:val="24"/>
        </w:rPr>
        <w:t>％)、</w:t>
      </w:r>
      <w:r w:rsidR="00C76C6A">
        <w:rPr>
          <w:rFonts w:hAnsi="ＭＳ 明朝" w:hint="eastAsia"/>
          <w:szCs w:val="24"/>
        </w:rPr>
        <w:t>駐車場</w:t>
      </w:r>
      <w:r w:rsidR="00863F42" w:rsidRPr="00C25DBA">
        <w:rPr>
          <w:rFonts w:hAnsi="ＭＳ 明朝" w:hint="eastAsia"/>
          <w:szCs w:val="24"/>
        </w:rPr>
        <w:t>事業会</w:t>
      </w:r>
      <w:r w:rsidR="006B46EB" w:rsidRPr="00C25DBA">
        <w:rPr>
          <w:rFonts w:hAnsi="ＭＳ 明朝" w:hint="eastAsia"/>
          <w:szCs w:val="24"/>
        </w:rPr>
        <w:t>計</w:t>
      </w:r>
      <w:r w:rsidR="00894C15" w:rsidRPr="00C25DBA">
        <w:rPr>
          <w:rFonts w:hAnsi="ＭＳ 明朝" w:hint="eastAsia"/>
          <w:szCs w:val="24"/>
        </w:rPr>
        <w:t>で</w:t>
      </w:r>
      <w:r w:rsidR="00C76C6A" w:rsidRPr="00C25DBA">
        <w:rPr>
          <w:rFonts w:hAnsi="ＭＳ 明朝" w:hint="eastAsia"/>
          <w:szCs w:val="24"/>
        </w:rPr>
        <w:t>108,381</w:t>
      </w:r>
      <w:r w:rsidR="00894C15" w:rsidRPr="00C25DBA">
        <w:rPr>
          <w:rFonts w:hAnsi="ＭＳ 明朝" w:hint="eastAsia"/>
          <w:szCs w:val="24"/>
        </w:rPr>
        <w:t>千円(</w:t>
      </w:r>
      <w:r w:rsidR="00C76C6A" w:rsidRPr="00C25DBA">
        <w:rPr>
          <w:rFonts w:hAnsi="ＭＳ 明朝" w:hint="eastAsia"/>
          <w:szCs w:val="24"/>
        </w:rPr>
        <w:t>56.0</w:t>
      </w:r>
      <w:r w:rsidR="00894C15" w:rsidRPr="00C25DBA">
        <w:rPr>
          <w:rFonts w:hAnsi="ＭＳ 明朝" w:hint="eastAsia"/>
          <w:szCs w:val="24"/>
        </w:rPr>
        <w:t>％)</w:t>
      </w:r>
      <w:r w:rsidR="00C25DBA">
        <w:rPr>
          <w:rFonts w:hAnsi="ＭＳ 明朝" w:hint="eastAsia"/>
          <w:szCs w:val="24"/>
        </w:rPr>
        <w:t>と</w:t>
      </w:r>
    </w:p>
    <w:p w:rsidR="00894C15" w:rsidRPr="00533946" w:rsidRDefault="00894C15" w:rsidP="00C76C6A">
      <w:pPr>
        <w:kinsoku w:val="0"/>
        <w:overflowPunct w:val="0"/>
        <w:snapToGrid w:val="0"/>
        <w:spacing w:line="240" w:lineRule="auto"/>
        <w:ind w:leftChars="300" w:left="840" w:hangingChars="50" w:hanging="120"/>
        <w:jc w:val="left"/>
        <w:rPr>
          <w:rFonts w:hAnsi="ＭＳ 明朝"/>
          <w:szCs w:val="24"/>
        </w:rPr>
      </w:pPr>
      <w:r w:rsidRPr="00533946">
        <w:rPr>
          <w:rFonts w:hAnsi="ＭＳ 明朝" w:hint="eastAsia"/>
          <w:szCs w:val="24"/>
        </w:rPr>
        <w:t>それぞれ増加したことによるものである。</w:t>
      </w:r>
    </w:p>
    <w:p w:rsidR="00304CBC" w:rsidRDefault="00304CBC" w:rsidP="00304CBC">
      <w:pPr>
        <w:kinsoku w:val="0"/>
        <w:overflowPunct w:val="0"/>
        <w:snapToGrid w:val="0"/>
        <w:spacing w:line="240" w:lineRule="auto"/>
        <w:ind w:leftChars="300" w:left="720"/>
        <w:jc w:val="left"/>
        <w:rPr>
          <w:rFonts w:hAnsi="ＭＳ 明朝"/>
          <w:szCs w:val="24"/>
        </w:rPr>
      </w:pPr>
    </w:p>
    <w:p w:rsidR="00894C15" w:rsidRPr="00426405" w:rsidRDefault="00894C15" w:rsidP="00304CBC">
      <w:pPr>
        <w:kinsoku w:val="0"/>
        <w:overflowPunct w:val="0"/>
        <w:snapToGrid w:val="0"/>
        <w:spacing w:line="240" w:lineRule="auto"/>
        <w:ind w:leftChars="300" w:left="720"/>
        <w:jc w:val="left"/>
        <w:rPr>
          <w:rFonts w:hAnsi="ＭＳ 明朝"/>
          <w:szCs w:val="24"/>
        </w:rPr>
      </w:pPr>
    </w:p>
    <w:p w:rsidR="00304CBC" w:rsidRPr="00894C15" w:rsidRDefault="00304CBC" w:rsidP="00304CBC">
      <w:pPr>
        <w:kinsoku w:val="0"/>
        <w:overflowPunct w:val="0"/>
        <w:snapToGrid w:val="0"/>
        <w:spacing w:line="240" w:lineRule="auto"/>
        <w:rPr>
          <w:rFonts w:hAnsi="ＭＳ 明朝"/>
          <w:szCs w:val="24"/>
        </w:rPr>
      </w:pPr>
    </w:p>
    <w:p w:rsidR="00304CBC" w:rsidRPr="00C92B14" w:rsidRDefault="00304CBC" w:rsidP="00304CBC">
      <w:pPr>
        <w:kinsoku w:val="0"/>
        <w:overflowPunct w:val="0"/>
        <w:snapToGrid w:val="0"/>
        <w:spacing w:line="240" w:lineRule="auto"/>
        <w:ind w:firstLineChars="100" w:firstLine="268"/>
        <w:rPr>
          <w:rFonts w:asciiTheme="majorEastAsia" w:eastAsiaTheme="majorEastAsia" w:hAnsiTheme="majorEastAsia"/>
          <w:szCs w:val="24"/>
        </w:rPr>
      </w:pPr>
      <w:r w:rsidRPr="00C92B14">
        <w:rPr>
          <w:rFonts w:asciiTheme="majorEastAsia" w:eastAsiaTheme="majorEastAsia" w:hAnsiTheme="majorEastAsia" w:hint="eastAsia"/>
          <w:spacing w:val="14"/>
          <w:kern w:val="2"/>
          <w:szCs w:val="24"/>
        </w:rPr>
        <w:t>一般会計から特別会計への繰出金</w:t>
      </w:r>
    </w:p>
    <w:p w:rsidR="00304CBC" w:rsidRPr="00270726" w:rsidRDefault="00304CBC" w:rsidP="006F0C08">
      <w:pPr>
        <w:kinsoku w:val="0"/>
        <w:overflowPunct w:val="0"/>
        <w:snapToGrid w:val="0"/>
        <w:spacing w:line="240" w:lineRule="auto"/>
        <w:ind w:firstLineChars="3150" w:firstLine="7560"/>
        <w:jc w:val="right"/>
        <w:rPr>
          <w:rFonts w:hAnsi="ＭＳ 明朝"/>
          <w:szCs w:val="24"/>
        </w:rPr>
      </w:pPr>
      <w:r>
        <w:rPr>
          <w:rFonts w:hAnsi="ＭＳ 明朝" w:hint="eastAsia"/>
          <w:szCs w:val="24"/>
        </w:rPr>
        <w:t>（単位：千円・％）</w:t>
      </w:r>
    </w:p>
    <w:bookmarkStart w:id="5" w:name="_MON_1500220446"/>
    <w:bookmarkEnd w:id="5"/>
    <w:p w:rsidR="00304CBC" w:rsidRDefault="005B689A" w:rsidP="00304CBC">
      <w:pPr>
        <w:spacing w:line="240" w:lineRule="auto"/>
        <w:rPr>
          <w:rFonts w:hAnsi="ＭＳ 明朝"/>
          <w:szCs w:val="24"/>
        </w:rPr>
      </w:pPr>
      <w:r w:rsidRPr="0020002D">
        <w:rPr>
          <w:rFonts w:hAnsi="ＭＳ 明朝"/>
          <w:szCs w:val="24"/>
        </w:rPr>
        <w:object w:dxaOrig="10087" w:dyaOrig="5042">
          <v:shape id="_x0000_i1029" type="#_x0000_t75" style="width:480.2pt;height:231.65pt" o:ole="">
            <v:imagedata r:id="rId16" o:title=""/>
          </v:shape>
          <o:OLEObject Type="Embed" ProgID="Excel.Sheet.12" ShapeID="_x0000_i1029" DrawAspect="Content" ObjectID="_1540119613" r:id="rId17"/>
        </w:object>
      </w:r>
    </w:p>
    <w:p w:rsidR="00304CBC" w:rsidRDefault="00304CBC" w:rsidP="00304CBC">
      <w:pPr>
        <w:spacing w:line="240" w:lineRule="auto"/>
        <w:rPr>
          <w:rFonts w:hAnsi="ＭＳ 明朝"/>
          <w:szCs w:val="24"/>
        </w:rPr>
      </w:pPr>
    </w:p>
    <w:p w:rsidR="00304CBC" w:rsidRDefault="00304CBC" w:rsidP="00986458">
      <w:pPr>
        <w:spacing w:line="240" w:lineRule="auto"/>
        <w:rPr>
          <w:rFonts w:hAnsi="ＭＳ 明朝"/>
          <w:szCs w:val="24"/>
        </w:rPr>
      </w:pPr>
    </w:p>
    <w:sectPr w:rsidR="00304CBC" w:rsidSect="00B11020">
      <w:footerReference w:type="default" r:id="rId18"/>
      <w:pgSz w:w="11906" w:h="16838" w:code="9"/>
      <w:pgMar w:top="1134" w:right="1134" w:bottom="1134" w:left="1134" w:header="851" w:footer="851" w:gutter="0"/>
      <w:pgNumType w:fmt="numberInDash" w:start="24"/>
      <w:cols w:space="425"/>
      <w:docGrid w:type="linesAndChar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1020" w:rsidRDefault="00B11020" w:rsidP="00255786">
      <w:pPr>
        <w:spacing w:line="240" w:lineRule="auto"/>
      </w:pPr>
      <w:r>
        <w:separator/>
      </w:r>
    </w:p>
  </w:endnote>
  <w:endnote w:type="continuationSeparator" w:id="0">
    <w:p w:rsidR="00B11020" w:rsidRDefault="00B11020" w:rsidP="0025578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819325"/>
      <w:docPartObj>
        <w:docPartGallery w:val="Page Numbers (Bottom of Page)"/>
        <w:docPartUnique/>
      </w:docPartObj>
    </w:sdtPr>
    <w:sdtContent>
      <w:p w:rsidR="00B11020" w:rsidRDefault="00686751" w:rsidP="00686751">
        <w:pPr>
          <w:pStyle w:val="a8"/>
          <w:jc w:val="center"/>
        </w:pPr>
        <w:r>
          <w:fldChar w:fldCharType="begin"/>
        </w:r>
        <w:r>
          <w:instrText xml:space="preserve"> PAGE   \* MERGEFORMAT </w:instrText>
        </w:r>
        <w:r>
          <w:fldChar w:fldCharType="separate"/>
        </w:r>
        <w:r w:rsidRPr="00686751">
          <w:rPr>
            <w:noProof/>
            <w:lang w:val="ja-JP"/>
          </w:rPr>
          <w:t>-</w:t>
        </w:r>
        <w:r>
          <w:rPr>
            <w:noProof/>
          </w:rPr>
          <w:t xml:space="preserve"> 29 -</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1020" w:rsidRDefault="00B11020" w:rsidP="00255786">
      <w:pPr>
        <w:spacing w:line="240" w:lineRule="auto"/>
      </w:pPr>
      <w:r>
        <w:separator/>
      </w:r>
    </w:p>
  </w:footnote>
  <w:footnote w:type="continuationSeparator" w:id="0">
    <w:p w:rsidR="00B11020" w:rsidRDefault="00B11020" w:rsidP="00255786">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193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D4B83"/>
    <w:rsid w:val="00004538"/>
    <w:rsid w:val="00010829"/>
    <w:rsid w:val="00010908"/>
    <w:rsid w:val="00014F3F"/>
    <w:rsid w:val="00015D5E"/>
    <w:rsid w:val="000307AE"/>
    <w:rsid w:val="00036AF2"/>
    <w:rsid w:val="00040622"/>
    <w:rsid w:val="000432B6"/>
    <w:rsid w:val="00057710"/>
    <w:rsid w:val="00060DC4"/>
    <w:rsid w:val="0007101A"/>
    <w:rsid w:val="000749FA"/>
    <w:rsid w:val="00075E74"/>
    <w:rsid w:val="00077303"/>
    <w:rsid w:val="0008184B"/>
    <w:rsid w:val="000A3482"/>
    <w:rsid w:val="000A36DB"/>
    <w:rsid w:val="000C1AAB"/>
    <w:rsid w:val="000C351C"/>
    <w:rsid w:val="000C4CD5"/>
    <w:rsid w:val="000C5110"/>
    <w:rsid w:val="000F0726"/>
    <w:rsid w:val="000F3636"/>
    <w:rsid w:val="00100F68"/>
    <w:rsid w:val="00110BE3"/>
    <w:rsid w:val="001232BD"/>
    <w:rsid w:val="00123B93"/>
    <w:rsid w:val="00125723"/>
    <w:rsid w:val="00126FB0"/>
    <w:rsid w:val="0013064C"/>
    <w:rsid w:val="00136C4C"/>
    <w:rsid w:val="00157408"/>
    <w:rsid w:val="00157529"/>
    <w:rsid w:val="00160DFA"/>
    <w:rsid w:val="00164CD8"/>
    <w:rsid w:val="0016574A"/>
    <w:rsid w:val="001708FE"/>
    <w:rsid w:val="001745EA"/>
    <w:rsid w:val="00182661"/>
    <w:rsid w:val="00197E24"/>
    <w:rsid w:val="001A0A71"/>
    <w:rsid w:val="001A7C77"/>
    <w:rsid w:val="001B1BA4"/>
    <w:rsid w:val="001C20F2"/>
    <w:rsid w:val="001D683C"/>
    <w:rsid w:val="001D6DB7"/>
    <w:rsid w:val="001E0F7A"/>
    <w:rsid w:val="001E7CE8"/>
    <w:rsid w:val="0020002D"/>
    <w:rsid w:val="0020719E"/>
    <w:rsid w:val="00217F7F"/>
    <w:rsid w:val="002217B9"/>
    <w:rsid w:val="00225763"/>
    <w:rsid w:val="002273E9"/>
    <w:rsid w:val="002302DF"/>
    <w:rsid w:val="00232714"/>
    <w:rsid w:val="00234EDB"/>
    <w:rsid w:val="00243119"/>
    <w:rsid w:val="002448D8"/>
    <w:rsid w:val="00251B0A"/>
    <w:rsid w:val="0025399C"/>
    <w:rsid w:val="00253F9B"/>
    <w:rsid w:val="00255786"/>
    <w:rsid w:val="00257C6A"/>
    <w:rsid w:val="00262A79"/>
    <w:rsid w:val="00264D9C"/>
    <w:rsid w:val="00270726"/>
    <w:rsid w:val="00271AD4"/>
    <w:rsid w:val="00275793"/>
    <w:rsid w:val="00293CE6"/>
    <w:rsid w:val="002959FA"/>
    <w:rsid w:val="002A6270"/>
    <w:rsid w:val="002C01E2"/>
    <w:rsid w:val="002C1393"/>
    <w:rsid w:val="002C225B"/>
    <w:rsid w:val="002D3248"/>
    <w:rsid w:val="002D62AE"/>
    <w:rsid w:val="002E0E87"/>
    <w:rsid w:val="002F11D5"/>
    <w:rsid w:val="003003B1"/>
    <w:rsid w:val="00304CBC"/>
    <w:rsid w:val="00311D03"/>
    <w:rsid w:val="00312C98"/>
    <w:rsid w:val="00315325"/>
    <w:rsid w:val="00334B95"/>
    <w:rsid w:val="003353F4"/>
    <w:rsid w:val="00362BD0"/>
    <w:rsid w:val="00372608"/>
    <w:rsid w:val="00373E0F"/>
    <w:rsid w:val="003745C3"/>
    <w:rsid w:val="003818C2"/>
    <w:rsid w:val="003838C6"/>
    <w:rsid w:val="00391058"/>
    <w:rsid w:val="00397AF8"/>
    <w:rsid w:val="003B2FB9"/>
    <w:rsid w:val="003C5F70"/>
    <w:rsid w:val="003D060D"/>
    <w:rsid w:val="003D7FF4"/>
    <w:rsid w:val="003E7FE5"/>
    <w:rsid w:val="00401DA8"/>
    <w:rsid w:val="00414245"/>
    <w:rsid w:val="00417FA9"/>
    <w:rsid w:val="00426405"/>
    <w:rsid w:val="0042749A"/>
    <w:rsid w:val="00432FF3"/>
    <w:rsid w:val="00434718"/>
    <w:rsid w:val="00434CBE"/>
    <w:rsid w:val="00442A56"/>
    <w:rsid w:val="00444E87"/>
    <w:rsid w:val="004477B2"/>
    <w:rsid w:val="004542D7"/>
    <w:rsid w:val="00461D6A"/>
    <w:rsid w:val="00477D0B"/>
    <w:rsid w:val="004D0199"/>
    <w:rsid w:val="004D0B50"/>
    <w:rsid w:val="004D7457"/>
    <w:rsid w:val="004E2DA6"/>
    <w:rsid w:val="005055FB"/>
    <w:rsid w:val="00522F91"/>
    <w:rsid w:val="00533946"/>
    <w:rsid w:val="005344A4"/>
    <w:rsid w:val="00536DEE"/>
    <w:rsid w:val="005552A3"/>
    <w:rsid w:val="005555BC"/>
    <w:rsid w:val="00572AEA"/>
    <w:rsid w:val="00583D7C"/>
    <w:rsid w:val="00584961"/>
    <w:rsid w:val="00591DC4"/>
    <w:rsid w:val="0059493A"/>
    <w:rsid w:val="005A30DA"/>
    <w:rsid w:val="005A747F"/>
    <w:rsid w:val="005B0961"/>
    <w:rsid w:val="005B689A"/>
    <w:rsid w:val="005C6C37"/>
    <w:rsid w:val="005C79E3"/>
    <w:rsid w:val="005D2D54"/>
    <w:rsid w:val="005F263B"/>
    <w:rsid w:val="005F5EE8"/>
    <w:rsid w:val="005F7B33"/>
    <w:rsid w:val="006072C0"/>
    <w:rsid w:val="00615306"/>
    <w:rsid w:val="0061673A"/>
    <w:rsid w:val="006169B6"/>
    <w:rsid w:val="00621B2A"/>
    <w:rsid w:val="0062344B"/>
    <w:rsid w:val="00625626"/>
    <w:rsid w:val="00654FC7"/>
    <w:rsid w:val="00661400"/>
    <w:rsid w:val="0066694B"/>
    <w:rsid w:val="0067194E"/>
    <w:rsid w:val="006731A9"/>
    <w:rsid w:val="00675679"/>
    <w:rsid w:val="00677410"/>
    <w:rsid w:val="006822E4"/>
    <w:rsid w:val="00684AA2"/>
    <w:rsid w:val="00686751"/>
    <w:rsid w:val="006928E0"/>
    <w:rsid w:val="00692B80"/>
    <w:rsid w:val="006A53A0"/>
    <w:rsid w:val="006A6C44"/>
    <w:rsid w:val="006A6F69"/>
    <w:rsid w:val="006B3CDD"/>
    <w:rsid w:val="006B46EB"/>
    <w:rsid w:val="006B7AF6"/>
    <w:rsid w:val="006D2A63"/>
    <w:rsid w:val="006E3959"/>
    <w:rsid w:val="006E4868"/>
    <w:rsid w:val="006F0C08"/>
    <w:rsid w:val="006F72B1"/>
    <w:rsid w:val="0070219E"/>
    <w:rsid w:val="00711008"/>
    <w:rsid w:val="00715148"/>
    <w:rsid w:val="00720D83"/>
    <w:rsid w:val="00720DC2"/>
    <w:rsid w:val="00737779"/>
    <w:rsid w:val="007612C7"/>
    <w:rsid w:val="00765420"/>
    <w:rsid w:val="00766415"/>
    <w:rsid w:val="00766C5A"/>
    <w:rsid w:val="00772FAE"/>
    <w:rsid w:val="00777919"/>
    <w:rsid w:val="00780503"/>
    <w:rsid w:val="00796611"/>
    <w:rsid w:val="007B05E8"/>
    <w:rsid w:val="007B5FC8"/>
    <w:rsid w:val="007B62CB"/>
    <w:rsid w:val="007C5675"/>
    <w:rsid w:val="007D5C91"/>
    <w:rsid w:val="007E46BA"/>
    <w:rsid w:val="007E5EC0"/>
    <w:rsid w:val="007F6F37"/>
    <w:rsid w:val="00804F46"/>
    <w:rsid w:val="00821B8F"/>
    <w:rsid w:val="0083230F"/>
    <w:rsid w:val="008463AA"/>
    <w:rsid w:val="00846C3F"/>
    <w:rsid w:val="00847E9D"/>
    <w:rsid w:val="008562DE"/>
    <w:rsid w:val="00863F42"/>
    <w:rsid w:val="00867E83"/>
    <w:rsid w:val="00872EA2"/>
    <w:rsid w:val="008779CE"/>
    <w:rsid w:val="00882E5D"/>
    <w:rsid w:val="00887348"/>
    <w:rsid w:val="008915FE"/>
    <w:rsid w:val="00894C15"/>
    <w:rsid w:val="008953F7"/>
    <w:rsid w:val="008A14EF"/>
    <w:rsid w:val="008A5C5D"/>
    <w:rsid w:val="008C1445"/>
    <w:rsid w:val="008D09D2"/>
    <w:rsid w:val="008F6C0E"/>
    <w:rsid w:val="008F7EDB"/>
    <w:rsid w:val="009136B9"/>
    <w:rsid w:val="0092507A"/>
    <w:rsid w:val="009250B5"/>
    <w:rsid w:val="00926CFD"/>
    <w:rsid w:val="00935979"/>
    <w:rsid w:val="00935FD8"/>
    <w:rsid w:val="00935FFA"/>
    <w:rsid w:val="00940888"/>
    <w:rsid w:val="00940C93"/>
    <w:rsid w:val="00952E82"/>
    <w:rsid w:val="00953201"/>
    <w:rsid w:val="00954FDD"/>
    <w:rsid w:val="00962E0A"/>
    <w:rsid w:val="00964306"/>
    <w:rsid w:val="00981576"/>
    <w:rsid w:val="00986458"/>
    <w:rsid w:val="00997607"/>
    <w:rsid w:val="009B311F"/>
    <w:rsid w:val="009E4B14"/>
    <w:rsid w:val="009E5570"/>
    <w:rsid w:val="00A01F67"/>
    <w:rsid w:val="00A03EF6"/>
    <w:rsid w:val="00A059D9"/>
    <w:rsid w:val="00A12A8C"/>
    <w:rsid w:val="00A13A21"/>
    <w:rsid w:val="00A14E64"/>
    <w:rsid w:val="00A365E6"/>
    <w:rsid w:val="00A44E93"/>
    <w:rsid w:val="00A463BC"/>
    <w:rsid w:val="00A53042"/>
    <w:rsid w:val="00A57805"/>
    <w:rsid w:val="00A6708F"/>
    <w:rsid w:val="00A721E4"/>
    <w:rsid w:val="00A742A2"/>
    <w:rsid w:val="00A74648"/>
    <w:rsid w:val="00A75391"/>
    <w:rsid w:val="00A833D9"/>
    <w:rsid w:val="00A83DAE"/>
    <w:rsid w:val="00A90CC4"/>
    <w:rsid w:val="00A9426D"/>
    <w:rsid w:val="00AC0D4E"/>
    <w:rsid w:val="00AD760A"/>
    <w:rsid w:val="00B10223"/>
    <w:rsid w:val="00B11020"/>
    <w:rsid w:val="00B3023C"/>
    <w:rsid w:val="00B31D91"/>
    <w:rsid w:val="00B60D86"/>
    <w:rsid w:val="00B645F9"/>
    <w:rsid w:val="00B64FA3"/>
    <w:rsid w:val="00B67DAE"/>
    <w:rsid w:val="00B90FA5"/>
    <w:rsid w:val="00BA4810"/>
    <w:rsid w:val="00BD1340"/>
    <w:rsid w:val="00BD4BD4"/>
    <w:rsid w:val="00BE10FE"/>
    <w:rsid w:val="00BF0B68"/>
    <w:rsid w:val="00BF758F"/>
    <w:rsid w:val="00C16FD6"/>
    <w:rsid w:val="00C25DBA"/>
    <w:rsid w:val="00C56426"/>
    <w:rsid w:val="00C71DFC"/>
    <w:rsid w:val="00C76C6A"/>
    <w:rsid w:val="00C815FE"/>
    <w:rsid w:val="00C8220D"/>
    <w:rsid w:val="00C92B14"/>
    <w:rsid w:val="00C96678"/>
    <w:rsid w:val="00CB1657"/>
    <w:rsid w:val="00CB4B11"/>
    <w:rsid w:val="00CC3FCE"/>
    <w:rsid w:val="00CF0CB4"/>
    <w:rsid w:val="00D03BC9"/>
    <w:rsid w:val="00D10EA7"/>
    <w:rsid w:val="00D1612A"/>
    <w:rsid w:val="00D241C3"/>
    <w:rsid w:val="00D40067"/>
    <w:rsid w:val="00D4491C"/>
    <w:rsid w:val="00D45317"/>
    <w:rsid w:val="00D7451C"/>
    <w:rsid w:val="00D91257"/>
    <w:rsid w:val="00DB7E3E"/>
    <w:rsid w:val="00DC1DB9"/>
    <w:rsid w:val="00DC50CB"/>
    <w:rsid w:val="00DC60DF"/>
    <w:rsid w:val="00DD0C22"/>
    <w:rsid w:val="00DD10E2"/>
    <w:rsid w:val="00DF71C4"/>
    <w:rsid w:val="00DF7EDB"/>
    <w:rsid w:val="00E00596"/>
    <w:rsid w:val="00E00642"/>
    <w:rsid w:val="00E01DDE"/>
    <w:rsid w:val="00E2184A"/>
    <w:rsid w:val="00E34E0A"/>
    <w:rsid w:val="00E34F00"/>
    <w:rsid w:val="00E358CF"/>
    <w:rsid w:val="00E3679A"/>
    <w:rsid w:val="00E421A3"/>
    <w:rsid w:val="00E44D5E"/>
    <w:rsid w:val="00E6241F"/>
    <w:rsid w:val="00E70C0A"/>
    <w:rsid w:val="00E717E8"/>
    <w:rsid w:val="00E75789"/>
    <w:rsid w:val="00E779AB"/>
    <w:rsid w:val="00E96DBC"/>
    <w:rsid w:val="00EC4E07"/>
    <w:rsid w:val="00EC52A5"/>
    <w:rsid w:val="00ED4B83"/>
    <w:rsid w:val="00EF416C"/>
    <w:rsid w:val="00EF5C0B"/>
    <w:rsid w:val="00F11BD5"/>
    <w:rsid w:val="00F208BF"/>
    <w:rsid w:val="00F37954"/>
    <w:rsid w:val="00F51468"/>
    <w:rsid w:val="00F60A27"/>
    <w:rsid w:val="00F70226"/>
    <w:rsid w:val="00F73588"/>
    <w:rsid w:val="00F764A9"/>
    <w:rsid w:val="00F810D6"/>
    <w:rsid w:val="00F8340E"/>
    <w:rsid w:val="00F92026"/>
    <w:rsid w:val="00FC1344"/>
    <w:rsid w:val="00FC62A9"/>
    <w:rsid w:val="00FC666F"/>
    <w:rsid w:val="00FD035C"/>
    <w:rsid w:val="00FE55C7"/>
    <w:rsid w:val="00FF411A"/>
    <w:rsid w:val="00FF657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93537">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ＭＳ 明朝"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4B83"/>
    <w:pPr>
      <w:widowControl w:val="0"/>
      <w:autoSpaceDE w:val="0"/>
      <w:autoSpaceDN w:val="0"/>
      <w:spacing w:line="374" w:lineRule="atLeast"/>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D4B83"/>
    <w:rPr>
      <w:rFonts w:ascii="明朝体" w:eastAsia="明朝体"/>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D0C22"/>
    <w:pPr>
      <w:spacing w:line="240" w:lineRule="auto"/>
    </w:pPr>
    <w:rPr>
      <w:rFonts w:ascii="Arial" w:eastAsia="ＭＳ ゴシック" w:hAnsi="Arial"/>
      <w:sz w:val="18"/>
      <w:szCs w:val="18"/>
    </w:rPr>
  </w:style>
  <w:style w:type="character" w:customStyle="1" w:styleId="a5">
    <w:name w:val="吹き出し (文字)"/>
    <w:basedOn w:val="a0"/>
    <w:link w:val="a4"/>
    <w:uiPriority w:val="99"/>
    <w:semiHidden/>
    <w:rsid w:val="00DD0C22"/>
    <w:rPr>
      <w:rFonts w:ascii="Arial" w:eastAsia="ＭＳ ゴシック" w:hAnsi="Arial" w:cs="Times New Roman"/>
      <w:kern w:val="0"/>
      <w:sz w:val="18"/>
      <w:szCs w:val="18"/>
    </w:rPr>
  </w:style>
  <w:style w:type="paragraph" w:styleId="a6">
    <w:name w:val="header"/>
    <w:basedOn w:val="a"/>
    <w:link w:val="a7"/>
    <w:uiPriority w:val="99"/>
    <w:semiHidden/>
    <w:unhideWhenUsed/>
    <w:rsid w:val="00255786"/>
    <w:pPr>
      <w:tabs>
        <w:tab w:val="center" w:pos="4252"/>
        <w:tab w:val="right" w:pos="8504"/>
      </w:tabs>
      <w:snapToGrid w:val="0"/>
    </w:pPr>
  </w:style>
  <w:style w:type="character" w:customStyle="1" w:styleId="a7">
    <w:name w:val="ヘッダー (文字)"/>
    <w:basedOn w:val="a0"/>
    <w:link w:val="a6"/>
    <w:uiPriority w:val="99"/>
    <w:semiHidden/>
    <w:rsid w:val="00255786"/>
    <w:rPr>
      <w:sz w:val="24"/>
    </w:rPr>
  </w:style>
  <w:style w:type="paragraph" w:styleId="a8">
    <w:name w:val="footer"/>
    <w:basedOn w:val="a"/>
    <w:link w:val="a9"/>
    <w:uiPriority w:val="99"/>
    <w:unhideWhenUsed/>
    <w:rsid w:val="00255786"/>
    <w:pPr>
      <w:tabs>
        <w:tab w:val="center" w:pos="4252"/>
        <w:tab w:val="right" w:pos="8504"/>
      </w:tabs>
      <w:snapToGrid w:val="0"/>
    </w:pPr>
  </w:style>
  <w:style w:type="character" w:customStyle="1" w:styleId="a9">
    <w:name w:val="フッター (文字)"/>
    <w:basedOn w:val="a0"/>
    <w:link w:val="a8"/>
    <w:uiPriority w:val="99"/>
    <w:rsid w:val="00255786"/>
    <w:rPr>
      <w:sz w:val="24"/>
    </w:rPr>
  </w:style>
</w:styles>
</file>

<file path=word/webSettings.xml><?xml version="1.0" encoding="utf-8"?>
<w:webSettings xmlns:r="http://schemas.openxmlformats.org/officeDocument/2006/relationships" xmlns:w="http://schemas.openxmlformats.org/wordprocessingml/2006/main">
  <w:divs>
    <w:div w:id="439183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Microsoft_Office_Excel_______4.xlsx"/><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image" Target="media/image3.emf"/><Relationship Id="rId17" Type="http://schemas.openxmlformats.org/officeDocument/2006/relationships/package" Target="embeddings/Microsoft_Office_Excel_______6.xlsx"/><Relationship Id="rId2" Type="http://schemas.openxmlformats.org/officeDocument/2006/relationships/styles" Target="styles.xml"/><Relationship Id="rId16" Type="http://schemas.openxmlformats.org/officeDocument/2006/relationships/image" Target="media/image5.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package" Target="embeddings/Microsoft_Office_Excel_______3.xlsx"/><Relationship Id="rId5" Type="http://schemas.openxmlformats.org/officeDocument/2006/relationships/footnotes" Target="footnotes.xml"/><Relationship Id="rId15" Type="http://schemas.openxmlformats.org/officeDocument/2006/relationships/package" Target="embeddings/Microsoft_Office_Excel_______5.xlsx"/><Relationship Id="rId10" Type="http://schemas.openxmlformats.org/officeDocument/2006/relationships/image" Target="media/image2.e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package" Target="embeddings/Microsoft_Office_Excel_______2.xlsx"/><Relationship Id="rId14" Type="http://schemas.openxmlformats.org/officeDocument/2006/relationships/image" Target="media/image4.emf"/></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______1.xlsx"/></Relationships>
</file>

<file path=word/charts/chart1.xml><?xml version="1.0" encoding="utf-8"?>
<c:chartSpace xmlns:c="http://schemas.openxmlformats.org/drawingml/2006/chart" xmlns:a="http://schemas.openxmlformats.org/drawingml/2006/main" xmlns:r="http://schemas.openxmlformats.org/officeDocument/2006/relationships">
  <c:lang val="ja-JP"/>
  <c:chart>
    <c:autoTitleDeleted val="1"/>
    <c:view3D>
      <c:rotX val="20"/>
      <c:perspective val="0"/>
    </c:view3D>
    <c:plotArea>
      <c:layout>
        <c:manualLayout>
          <c:layoutTarget val="inner"/>
          <c:xMode val="edge"/>
          <c:yMode val="edge"/>
          <c:x val="6.7888273225107126E-2"/>
          <c:y val="0.29355603276863118"/>
          <c:w val="0.87304075235112022"/>
          <c:h val="0.63245823389021483"/>
        </c:manualLayout>
      </c:layout>
      <c:pie3DChart>
        <c:varyColors val="1"/>
        <c:ser>
          <c:idx val="1"/>
          <c:order val="0"/>
          <c:tx>
            <c:strRef>
              <c:f>Sheet1!$A$2</c:f>
              <c:strCache>
                <c:ptCount val="1"/>
              </c:strCache>
            </c:strRef>
          </c:tx>
          <c:spPr>
            <a:solidFill>
              <a:srgbClr val="993366"/>
            </a:solidFill>
            <a:ln w="12700">
              <a:solidFill>
                <a:srgbClr val="000000"/>
              </a:solidFill>
              <a:prstDash val="solid"/>
            </a:ln>
          </c:spPr>
          <c:explosion val="6"/>
          <c:dPt>
            <c:idx val="0"/>
            <c:explosion val="4"/>
            <c:spPr>
              <a:solidFill>
                <a:srgbClr val="9999FF"/>
              </a:solidFill>
              <a:ln w="12700">
                <a:solidFill>
                  <a:srgbClr val="000000"/>
                </a:solidFill>
                <a:prstDash val="solid"/>
              </a:ln>
            </c:spPr>
          </c:dPt>
          <c:dPt>
            <c:idx val="2"/>
            <c:spPr>
              <a:solidFill>
                <a:srgbClr val="FFFFCC"/>
              </a:solidFill>
              <a:ln w="12700">
                <a:solidFill>
                  <a:srgbClr val="000000"/>
                </a:solidFill>
                <a:prstDash val="solid"/>
              </a:ln>
            </c:spPr>
          </c:dPt>
          <c:dPt>
            <c:idx val="3"/>
            <c:spPr>
              <a:solidFill>
                <a:srgbClr val="CCFFFF"/>
              </a:solidFill>
              <a:ln w="12700">
                <a:solidFill>
                  <a:srgbClr val="000000"/>
                </a:solidFill>
                <a:prstDash val="solid"/>
              </a:ln>
            </c:spPr>
          </c:dPt>
          <c:dPt>
            <c:idx val="4"/>
            <c:spPr>
              <a:solidFill>
                <a:srgbClr val="660066"/>
              </a:solidFill>
              <a:ln w="12700">
                <a:solidFill>
                  <a:srgbClr val="000000"/>
                </a:solidFill>
                <a:prstDash val="solid"/>
              </a:ln>
            </c:spPr>
          </c:dPt>
          <c:dPt>
            <c:idx val="5"/>
            <c:spPr>
              <a:solidFill>
                <a:srgbClr val="FF8080"/>
              </a:solidFill>
              <a:ln w="12700">
                <a:solidFill>
                  <a:srgbClr val="000000"/>
                </a:solidFill>
                <a:prstDash val="solid"/>
              </a:ln>
            </c:spPr>
          </c:dPt>
          <c:dPt>
            <c:idx val="6"/>
            <c:spPr>
              <a:solidFill>
                <a:srgbClr val="0066CC"/>
              </a:solidFill>
              <a:ln w="12700">
                <a:solidFill>
                  <a:srgbClr val="000000"/>
                </a:solidFill>
                <a:prstDash val="solid"/>
              </a:ln>
            </c:spPr>
          </c:dPt>
          <c:dPt>
            <c:idx val="7"/>
            <c:spPr>
              <a:solidFill>
                <a:srgbClr val="CCCCFF"/>
              </a:solidFill>
              <a:ln w="12700">
                <a:solidFill>
                  <a:srgbClr val="000000"/>
                </a:solidFill>
                <a:prstDash val="solid"/>
              </a:ln>
            </c:spPr>
          </c:dPt>
          <c:dPt>
            <c:idx val="8"/>
            <c:spPr>
              <a:solidFill>
                <a:srgbClr val="000080"/>
              </a:solidFill>
              <a:ln w="12700">
                <a:solidFill>
                  <a:srgbClr val="000000"/>
                </a:solidFill>
                <a:prstDash val="solid"/>
              </a:ln>
            </c:spPr>
          </c:dPt>
          <c:dPt>
            <c:idx val="9"/>
            <c:spPr>
              <a:solidFill>
                <a:srgbClr val="FF00FF"/>
              </a:solidFill>
              <a:ln w="12700">
                <a:solidFill>
                  <a:srgbClr val="000000"/>
                </a:solidFill>
                <a:prstDash val="solid"/>
              </a:ln>
            </c:spPr>
          </c:dPt>
          <c:dLbls>
            <c:dLbl>
              <c:idx val="0"/>
              <c:layout>
                <c:manualLayout>
                  <c:x val="-0.22420887203914341"/>
                  <c:y val="5.1866453756218886E-2"/>
                </c:manualLayout>
              </c:layout>
              <c:tx>
                <c:rich>
                  <a:bodyPr/>
                  <a:lstStyle/>
                  <a:p>
                    <a:r>
                      <a:rPr lang="ja-JP" altLang="en-US"/>
                      <a:t>民生費</a:t>
                    </a:r>
                    <a:r>
                      <a:rPr lang="en-US" altLang="ja-JP"/>
                      <a:t>32.8(27.2)</a:t>
                    </a:r>
                  </a:p>
                </c:rich>
              </c:tx>
              <c:dLblPos val="bestFit"/>
              <c:extLst>
                <c:ext xmlns:c15="http://schemas.microsoft.com/office/drawing/2012/chart" uri="{CE6537A1-D6FC-4f65-9D91-7224C49458BB}">
                  <c15:layout/>
                </c:ext>
              </c:extLst>
            </c:dLbl>
            <c:dLbl>
              <c:idx val="1"/>
              <c:layout>
                <c:manualLayout>
                  <c:x val="-0.18762305174816121"/>
                  <c:y val="-0.19184332727640202"/>
                </c:manualLayout>
              </c:layout>
              <c:tx>
                <c:rich>
                  <a:bodyPr/>
                  <a:lstStyle/>
                  <a:p>
                    <a:r>
                      <a:rPr lang="ja-JP" altLang="en-US"/>
                      <a:t>公債費</a:t>
                    </a:r>
                    <a:r>
                      <a:rPr lang="en-US" altLang="ja-JP"/>
                      <a:t>13.9(11.4) </a:t>
                    </a:r>
                  </a:p>
                </c:rich>
              </c:tx>
              <c:dLblPos val="bestFit"/>
              <c:extLst>
                <c:ext xmlns:c15="http://schemas.microsoft.com/office/drawing/2012/chart" uri="{CE6537A1-D6FC-4f65-9D91-7224C49458BB}">
                  <c15:layout/>
                </c:ext>
              </c:extLst>
            </c:dLbl>
            <c:dLbl>
              <c:idx val="2"/>
              <c:layout>
                <c:manualLayout>
                  <c:x val="-6.0903405592819419E-2"/>
                  <c:y val="-0.30538993814584997"/>
                </c:manualLayout>
              </c:layout>
              <c:tx>
                <c:rich>
                  <a:bodyPr/>
                  <a:lstStyle/>
                  <a:p>
                    <a:r>
                      <a:rPr lang="ja-JP" altLang="en-US"/>
                      <a:t>教育費</a:t>
                    </a:r>
                    <a:r>
                      <a:rPr lang="en-US" altLang="ja-JP"/>
                      <a:t>12.3(13.7</a:t>
                    </a:r>
                    <a:r>
                      <a:rPr lang="ja-JP" altLang="en-US"/>
                      <a:t>） </a:t>
                    </a:r>
                  </a:p>
                </c:rich>
              </c:tx>
              <c:dLblPos val="bestFit"/>
              <c:extLst>
                <c:ext xmlns:c15="http://schemas.microsoft.com/office/drawing/2012/chart" uri="{CE6537A1-D6FC-4f65-9D91-7224C49458BB}">
                  <c15:layout/>
                </c:ext>
              </c:extLst>
            </c:dLbl>
            <c:dLbl>
              <c:idx val="3"/>
              <c:layout>
                <c:manualLayout>
                  <c:x val="0.31929765723728981"/>
                  <c:y val="-7.3103169796083181E-2"/>
                </c:manualLayout>
              </c:layout>
              <c:tx>
                <c:rich>
                  <a:bodyPr/>
                  <a:lstStyle/>
                  <a:p>
                    <a:r>
                      <a:rPr lang="ja-JP" altLang="en-US"/>
                      <a:t>土木費</a:t>
                    </a:r>
                    <a:r>
                      <a:rPr lang="en-US" altLang="ja-JP"/>
                      <a:t>13.7(21.7) </a:t>
                    </a:r>
                  </a:p>
                </c:rich>
              </c:tx>
              <c:dLblPos val="bestFit"/>
              <c:extLst>
                <c:ext xmlns:c15="http://schemas.microsoft.com/office/drawing/2012/chart" uri="{CE6537A1-D6FC-4f65-9D91-7224C49458BB}">
                  <c15:layout/>
                </c:ext>
              </c:extLst>
            </c:dLbl>
            <c:dLbl>
              <c:idx val="4"/>
              <c:layout>
                <c:manualLayout>
                  <c:x val="8.3665467742460586E-2"/>
                  <c:y val="5.3335291130568088E-3"/>
                </c:manualLayout>
              </c:layout>
              <c:tx>
                <c:rich>
                  <a:bodyPr/>
                  <a:lstStyle/>
                  <a:p>
                    <a:r>
                      <a:rPr lang="ja-JP" altLang="en-US"/>
                      <a:t>総務費</a:t>
                    </a:r>
                    <a:r>
                      <a:rPr lang="en-US" altLang="ja-JP"/>
                      <a:t>7.4(7.4) </a:t>
                    </a:r>
                  </a:p>
                </c:rich>
              </c:tx>
              <c:dLblPos val="bestFit"/>
              <c:extLst>
                <c:ext xmlns:c15="http://schemas.microsoft.com/office/drawing/2012/chart" uri="{CE6537A1-D6FC-4f65-9D91-7224C49458BB}">
                  <c15:layout/>
                </c:ext>
              </c:extLst>
            </c:dLbl>
            <c:dLbl>
              <c:idx val="5"/>
              <c:layout>
                <c:manualLayout>
                  <c:x val="7.8273225106120989E-2"/>
                  <c:y val="1.5480547449051691E-2"/>
                </c:manualLayout>
              </c:layout>
              <c:tx>
                <c:rich>
                  <a:bodyPr/>
                  <a:lstStyle/>
                  <a:p>
                    <a:r>
                      <a:rPr lang="ja-JP" altLang="en-US"/>
                      <a:t>商工費</a:t>
                    </a:r>
                    <a:r>
                      <a:rPr lang="en-US" altLang="ja-JP"/>
                      <a:t>6.9(7.0) </a:t>
                    </a:r>
                  </a:p>
                </c:rich>
              </c:tx>
              <c:dLblPos val="bestFit"/>
              <c:extLst>
                <c:ext xmlns:c15="http://schemas.microsoft.com/office/drawing/2012/chart" uri="{CE6537A1-D6FC-4f65-9D91-7224C49458BB}">
                  <c15:layout/>
                </c:ext>
              </c:extLst>
            </c:dLbl>
            <c:dLbl>
              <c:idx val="6"/>
              <c:layout>
                <c:manualLayout>
                  <c:x val="-5.2109620556689933E-2"/>
                  <c:y val="-2.9933496075228452E-2"/>
                </c:manualLayout>
              </c:layout>
              <c:tx>
                <c:rich>
                  <a:bodyPr/>
                  <a:lstStyle/>
                  <a:p>
                    <a:r>
                      <a:rPr lang="ja-JP" altLang="en-US"/>
                      <a:t>衛生費</a:t>
                    </a:r>
                    <a:r>
                      <a:rPr lang="en-US" altLang="ja-JP"/>
                      <a:t>6.7(5.9) </a:t>
                    </a:r>
                  </a:p>
                </c:rich>
              </c:tx>
              <c:dLblPos val="bestFit"/>
              <c:extLst>
                <c:ext xmlns:c15="http://schemas.microsoft.com/office/drawing/2012/chart" uri="{CE6537A1-D6FC-4f65-9D91-7224C49458BB}">
                  <c15:layout/>
                </c:ext>
              </c:extLst>
            </c:dLbl>
            <c:dLbl>
              <c:idx val="7"/>
              <c:layout>
                <c:manualLayout>
                  <c:x val="-0.13754576974174523"/>
                  <c:y val="-0.10209227343085747"/>
                </c:manualLayout>
              </c:layout>
              <c:tx>
                <c:rich>
                  <a:bodyPr/>
                  <a:lstStyle/>
                  <a:p>
                    <a:r>
                      <a:rPr lang="ja-JP" altLang="en-US"/>
                      <a:t>消防費</a:t>
                    </a:r>
                    <a:r>
                      <a:rPr lang="en-US" altLang="ja-JP"/>
                      <a:t>3.5(3.7) </a:t>
                    </a:r>
                  </a:p>
                </c:rich>
              </c:tx>
              <c:dLblPos val="bestFit"/>
              <c:extLst>
                <c:ext xmlns:c15="http://schemas.microsoft.com/office/drawing/2012/chart" uri="{CE6537A1-D6FC-4f65-9D91-7224C49458BB}">
                  <c15:layout/>
                </c:ext>
              </c:extLst>
            </c:dLbl>
            <c:dLbl>
              <c:idx val="8"/>
              <c:layout>
                <c:manualLayout>
                  <c:x val="-6.6176079841872112E-2"/>
                  <c:y val="-0.15492734736829492"/>
                </c:manualLayout>
              </c:layout>
              <c:tx>
                <c:rich>
                  <a:bodyPr/>
                  <a:lstStyle/>
                  <a:p>
                    <a:r>
                      <a:rPr lang="ja-JP" altLang="en-US"/>
                      <a:t>農林水産業費</a:t>
                    </a:r>
                    <a:r>
                      <a:rPr lang="en-US" altLang="ja-JP"/>
                      <a:t>1.6(1.0) </a:t>
                    </a:r>
                  </a:p>
                </c:rich>
              </c:tx>
              <c:dLblPos val="bestFit"/>
              <c:extLst>
                <c:ext xmlns:c15="http://schemas.microsoft.com/office/drawing/2012/chart" uri="{CE6537A1-D6FC-4f65-9D91-7224C49458BB}">
                  <c15:layout/>
                </c:ext>
              </c:extLst>
            </c:dLbl>
            <c:dLbl>
              <c:idx val="9"/>
              <c:layout>
                <c:manualLayout>
                  <c:x val="0.12584270719788199"/>
                  <c:y val="-0.15814604078073943"/>
                </c:manualLayout>
              </c:layout>
              <c:tx>
                <c:rich>
                  <a:bodyPr/>
                  <a:lstStyle/>
                  <a:p>
                    <a:r>
                      <a:rPr lang="ja-JP" altLang="en-US"/>
                      <a:t>その他</a:t>
                    </a:r>
                    <a:r>
                      <a:rPr lang="en-US" altLang="ja-JP"/>
                      <a:t>1.2(1.0)</a:t>
                    </a:r>
                  </a:p>
                </c:rich>
              </c:tx>
              <c:dLblPos val="bestFit"/>
              <c:extLst>
                <c:ext xmlns:c15="http://schemas.microsoft.com/office/drawing/2012/chart" uri="{CE6537A1-D6FC-4f65-9D91-7224C49458BB}">
                  <c15:layout/>
                </c:ext>
              </c:extLst>
            </c:dLbl>
            <c:spPr>
              <a:solidFill>
                <a:srgbClr val="FFFFFF"/>
              </a:solidFill>
              <a:ln w="25400">
                <a:noFill/>
              </a:ln>
            </c:spPr>
            <c:txPr>
              <a:bodyPr/>
              <a:lstStyle/>
              <a:p>
                <a:pPr>
                  <a:defRPr sz="975" b="0" i="0" u="none" strike="noStrike" baseline="0">
                    <a:solidFill>
                      <a:srgbClr val="000000"/>
                    </a:solidFill>
                    <a:latin typeface="ＭＳ 明朝"/>
                    <a:ea typeface="ＭＳ 明朝"/>
                    <a:cs typeface="ＭＳ 明朝"/>
                  </a:defRPr>
                </a:pPr>
                <a:endParaRPr lang="ja-JP"/>
              </a:p>
            </c:txPr>
            <c:showVal val="1"/>
            <c:showLeaderLines val="1"/>
            <c:extLst>
              <c:ext xmlns:c15="http://schemas.microsoft.com/office/drawing/2012/chart" uri="{CE6537A1-D6FC-4f65-9D91-7224C49458BB}"/>
            </c:extLst>
          </c:dLbls>
          <c:cat>
            <c:strRef>
              <c:f>Sheet1!$B$1:$K$1</c:f>
              <c:strCache>
                <c:ptCount val="10"/>
                <c:pt idx="0">
                  <c:v>民生費</c:v>
                </c:pt>
                <c:pt idx="1">
                  <c:v>公債費</c:v>
                </c:pt>
                <c:pt idx="2">
                  <c:v>土木費</c:v>
                </c:pt>
                <c:pt idx="3">
                  <c:v>教育費</c:v>
                </c:pt>
                <c:pt idx="4">
                  <c:v>総務費</c:v>
                </c:pt>
                <c:pt idx="5">
                  <c:v>商工費</c:v>
                </c:pt>
                <c:pt idx="6">
                  <c:v>衛生費</c:v>
                </c:pt>
                <c:pt idx="7">
                  <c:v>消防費</c:v>
                </c:pt>
                <c:pt idx="8">
                  <c:v>農林水産業費</c:v>
                </c:pt>
                <c:pt idx="9">
                  <c:v>その他</c:v>
                </c:pt>
              </c:strCache>
            </c:strRef>
          </c:cat>
          <c:val>
            <c:numRef>
              <c:f>Sheet1!$B$2:$K$2</c:f>
              <c:numCache>
                <c:formatCode>General</c:formatCode>
                <c:ptCount val="10"/>
                <c:pt idx="0">
                  <c:v>32.800000000000004</c:v>
                </c:pt>
                <c:pt idx="1">
                  <c:v>13.9</c:v>
                </c:pt>
                <c:pt idx="2" formatCode="0.0_ ">
                  <c:v>13.7</c:v>
                </c:pt>
                <c:pt idx="3" formatCode="0.0_ ">
                  <c:v>12.3</c:v>
                </c:pt>
                <c:pt idx="4" formatCode="0.0_ ">
                  <c:v>7.4</c:v>
                </c:pt>
                <c:pt idx="5" formatCode="0.0_ ">
                  <c:v>6.9</c:v>
                </c:pt>
                <c:pt idx="6" formatCode="0.0_ ">
                  <c:v>6.7</c:v>
                </c:pt>
                <c:pt idx="7" formatCode="0.0_ ">
                  <c:v>3.5</c:v>
                </c:pt>
                <c:pt idx="8" formatCode="0.0_ ">
                  <c:v>1.6</c:v>
                </c:pt>
                <c:pt idx="9" formatCode="0.0_ ">
                  <c:v>1.2</c:v>
                </c:pt>
              </c:numCache>
            </c:numRef>
          </c:val>
        </c:ser>
        <c:dLbls>
          <c:showVal val="1"/>
          <c:showCatName val="1"/>
        </c:dLbls>
      </c:pie3DChart>
      <c:spPr>
        <a:noFill/>
        <a:ln w="25400">
          <a:noFill/>
        </a:ln>
      </c:spPr>
    </c:plotArea>
    <c:plotVisOnly val="1"/>
    <c:dispBlanksAs val="zero"/>
  </c:chart>
  <c:spPr>
    <a:noFill/>
    <a:ln>
      <a:noFill/>
    </a:ln>
  </c:spPr>
  <c:txPr>
    <a:bodyPr/>
    <a:lstStyle/>
    <a:p>
      <a:pPr>
        <a:defRPr sz="1025" b="0" i="0" u="none" strike="noStrike" baseline="0">
          <a:solidFill>
            <a:srgbClr val="000000"/>
          </a:solidFill>
          <a:latin typeface="ＭＳ 明朝"/>
          <a:ea typeface="ＭＳ 明朝"/>
          <a:cs typeface="ＭＳ 明朝"/>
        </a:defRPr>
      </a:pPr>
      <a:endParaRPr lang="ja-JP"/>
    </a:p>
  </c:txPr>
  <c:externalData r:id="rId1"/>
</c:chartSpac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A4440E-E9A4-4FF8-B84C-D68C22E3B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2913</TotalTime>
  <Pages>6</Pages>
  <Words>234</Words>
  <Characters>1337</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116</cp:revision>
  <cp:lastPrinted>2016-11-08T05:10:00Z</cp:lastPrinted>
  <dcterms:created xsi:type="dcterms:W3CDTF">2013-09-11T05:53:00Z</dcterms:created>
  <dcterms:modified xsi:type="dcterms:W3CDTF">2016-11-08T05:14:00Z</dcterms:modified>
</cp:coreProperties>
</file>