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B83" w:rsidRPr="00ED4B83" w:rsidRDefault="00ED4B83" w:rsidP="0049196E">
      <w:pPr>
        <w:kinsoku w:val="0"/>
        <w:overflowPunct w:val="0"/>
        <w:snapToGrid w:val="0"/>
        <w:spacing w:line="240" w:lineRule="auto"/>
        <w:rPr>
          <w:rFonts w:ascii="ＭＳ ゴシック" w:eastAsia="ＭＳ ゴシック" w:hAnsi="ＭＳ ゴシック"/>
          <w:szCs w:val="24"/>
        </w:rPr>
      </w:pPr>
      <w:r w:rsidRPr="00ED4B83">
        <w:rPr>
          <w:rFonts w:ascii="ＭＳ ゴシック" w:eastAsia="ＭＳ ゴシック" w:hAnsi="ＭＳ ゴシック" w:hint="eastAsia"/>
          <w:szCs w:val="24"/>
        </w:rPr>
        <w:t>一  般  会  計</w:t>
      </w:r>
    </w:p>
    <w:p w:rsidR="00ED4B83" w:rsidRPr="00ED4B83" w:rsidRDefault="00ED4B83" w:rsidP="00ED4B83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D4B83" w:rsidRPr="00095FFB" w:rsidRDefault="00ED4B83" w:rsidP="00ED4B83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napToGrid w:val="0"/>
          <w:szCs w:val="24"/>
        </w:rPr>
      </w:pPr>
      <w:r w:rsidRPr="00ED4B83">
        <w:rPr>
          <w:rFonts w:hAnsi="ＭＳ 明朝" w:hint="eastAsia"/>
          <w:snapToGrid w:val="0"/>
          <w:szCs w:val="24"/>
        </w:rPr>
        <w:t>一般会計歳入歳出予算現額</w:t>
      </w:r>
      <w:r w:rsidR="00095FFB" w:rsidRPr="00095FFB">
        <w:rPr>
          <w:rFonts w:hAnsi="ＭＳ 明朝" w:hint="eastAsia"/>
          <w:snapToGrid w:val="0"/>
          <w:szCs w:val="24"/>
        </w:rPr>
        <w:t>101</w:t>
      </w:r>
      <w:r w:rsidRPr="00095FFB">
        <w:rPr>
          <w:rFonts w:hAnsi="ＭＳ 明朝" w:hint="eastAsia"/>
          <w:snapToGrid w:val="0"/>
          <w:szCs w:val="24"/>
        </w:rPr>
        <w:t>,</w:t>
      </w:r>
      <w:r w:rsidR="00095FFB" w:rsidRPr="00095FFB">
        <w:rPr>
          <w:rFonts w:hAnsi="ＭＳ 明朝" w:hint="eastAsia"/>
          <w:snapToGrid w:val="0"/>
          <w:szCs w:val="24"/>
        </w:rPr>
        <w:t>503,279</w:t>
      </w:r>
      <w:r w:rsidRPr="00095FFB">
        <w:rPr>
          <w:rFonts w:hAnsi="ＭＳ 明朝" w:hint="eastAsia"/>
          <w:snapToGrid w:val="0"/>
          <w:szCs w:val="24"/>
        </w:rPr>
        <w:t>千円に対する決算額</w:t>
      </w:r>
    </w:p>
    <w:p w:rsidR="00ED4B83" w:rsidRPr="00095FFB" w:rsidRDefault="00ED4B83" w:rsidP="00ED4B83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095FFB">
        <w:rPr>
          <w:rFonts w:hAnsi="ＭＳ 明朝" w:hint="eastAsia"/>
          <w:snapToGrid w:val="0"/>
          <w:szCs w:val="24"/>
        </w:rPr>
        <w:t xml:space="preserve">　　歳　入　</w:t>
      </w:r>
      <w:r w:rsidR="00095FFB" w:rsidRPr="00095FFB">
        <w:rPr>
          <w:rFonts w:hAnsi="ＭＳ 明朝" w:hint="eastAsia"/>
          <w:snapToGrid w:val="0"/>
          <w:szCs w:val="24"/>
        </w:rPr>
        <w:t>83,362,751</w:t>
      </w:r>
      <w:r w:rsidRPr="00095FFB">
        <w:rPr>
          <w:rFonts w:hAnsi="ＭＳ 明朝" w:hint="eastAsia"/>
          <w:snapToGrid w:val="0"/>
          <w:szCs w:val="24"/>
        </w:rPr>
        <w:t>千円（予算現額に対する収入率</w:t>
      </w:r>
      <w:r w:rsidR="00095FFB" w:rsidRPr="00095FFB">
        <w:rPr>
          <w:rFonts w:hAnsi="ＭＳ 明朝" w:hint="eastAsia"/>
          <w:snapToGrid w:val="0"/>
          <w:szCs w:val="24"/>
        </w:rPr>
        <w:t>82.1</w:t>
      </w:r>
      <w:r w:rsidRPr="00095FFB">
        <w:rPr>
          <w:rFonts w:hAnsi="ＭＳ 明朝" w:hint="eastAsia"/>
          <w:snapToGrid w:val="0"/>
          <w:szCs w:val="24"/>
        </w:rPr>
        <w:t>％）</w:t>
      </w:r>
    </w:p>
    <w:p w:rsidR="00ED4B83" w:rsidRPr="00095FFB" w:rsidRDefault="00ED4B83" w:rsidP="00ED4B83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095FFB">
        <w:rPr>
          <w:rFonts w:hAnsi="ＭＳ 明朝" w:hint="eastAsia"/>
          <w:snapToGrid w:val="0"/>
          <w:szCs w:val="24"/>
        </w:rPr>
        <w:t xml:space="preserve">　　歳　出　</w:t>
      </w:r>
      <w:r w:rsidR="00095FFB" w:rsidRPr="00095FFB">
        <w:rPr>
          <w:rFonts w:hAnsi="ＭＳ 明朝" w:hint="eastAsia"/>
          <w:snapToGrid w:val="0"/>
          <w:szCs w:val="24"/>
        </w:rPr>
        <w:t>82,217,170</w:t>
      </w:r>
      <w:r w:rsidRPr="00095FFB">
        <w:rPr>
          <w:rFonts w:hAnsi="ＭＳ 明朝" w:hint="eastAsia"/>
          <w:snapToGrid w:val="0"/>
          <w:szCs w:val="24"/>
        </w:rPr>
        <w:t>千円（予算現額に対する執行率</w:t>
      </w:r>
      <w:r w:rsidR="00095FFB" w:rsidRPr="00095FFB">
        <w:rPr>
          <w:rFonts w:hAnsi="ＭＳ 明朝" w:hint="eastAsia"/>
          <w:snapToGrid w:val="0"/>
          <w:szCs w:val="24"/>
        </w:rPr>
        <w:t>81.0</w:t>
      </w:r>
      <w:r w:rsidRPr="00095FFB">
        <w:rPr>
          <w:rFonts w:hAnsi="ＭＳ 明朝" w:hint="eastAsia"/>
          <w:snapToGrid w:val="0"/>
          <w:szCs w:val="24"/>
        </w:rPr>
        <w:t>％）</w:t>
      </w:r>
    </w:p>
    <w:p w:rsidR="00ED4B83" w:rsidRPr="00095FFB" w:rsidRDefault="00095FFB" w:rsidP="00ED4B83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095FFB">
        <w:rPr>
          <w:rFonts w:hAnsi="ＭＳ 明朝" w:hint="eastAsia"/>
          <w:snapToGrid w:val="0"/>
          <w:szCs w:val="24"/>
        </w:rPr>
        <w:t xml:space="preserve">　　差引額　 1,145,581</w:t>
      </w:r>
      <w:r w:rsidR="00ED4B83" w:rsidRPr="00095FFB">
        <w:rPr>
          <w:rFonts w:hAnsi="ＭＳ 明朝" w:hint="eastAsia"/>
          <w:snapToGrid w:val="0"/>
          <w:szCs w:val="24"/>
        </w:rPr>
        <w:t>千円</w:t>
      </w:r>
    </w:p>
    <w:p w:rsidR="00ED4B83" w:rsidRDefault="00ED4B83" w:rsidP="00ED4B83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napToGrid w:val="0"/>
          <w:szCs w:val="24"/>
        </w:rPr>
      </w:pPr>
    </w:p>
    <w:p w:rsidR="00ED4B83" w:rsidRPr="00ED4B83" w:rsidRDefault="00ED4B83" w:rsidP="00ED4B83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napToGrid w:val="0"/>
          <w:szCs w:val="24"/>
        </w:rPr>
      </w:pPr>
      <w:r w:rsidRPr="00ED4B83">
        <w:rPr>
          <w:rFonts w:hAnsi="ＭＳ 明朝" w:hint="eastAsia"/>
          <w:snapToGrid w:val="0"/>
          <w:szCs w:val="24"/>
        </w:rPr>
        <w:t>決算額は前年度に比べ歳入で</w:t>
      </w:r>
      <w:r w:rsidR="003F4263">
        <w:rPr>
          <w:rFonts w:hAnsi="ＭＳ 明朝" w:hint="eastAsia"/>
          <w:szCs w:val="24"/>
        </w:rPr>
        <w:t>10,945,066</w:t>
      </w:r>
      <w:r w:rsidRPr="00ED4B83">
        <w:rPr>
          <w:rFonts w:hAnsi="ＭＳ 明朝" w:hint="eastAsia"/>
          <w:snapToGrid w:val="0"/>
          <w:szCs w:val="24"/>
        </w:rPr>
        <w:t>千円(</w:t>
      </w:r>
      <w:r w:rsidR="003F4263">
        <w:rPr>
          <w:rFonts w:hAnsi="ＭＳ 明朝" w:hint="eastAsia"/>
          <w:szCs w:val="24"/>
        </w:rPr>
        <w:t>15</w:t>
      </w:r>
      <w:r w:rsidRPr="00ED4B83">
        <w:rPr>
          <w:rFonts w:hAnsi="ＭＳ 明朝" w:hint="eastAsia"/>
          <w:szCs w:val="24"/>
        </w:rPr>
        <w:t>.1</w:t>
      </w:r>
      <w:r w:rsidRPr="00ED4B83">
        <w:rPr>
          <w:rFonts w:hAnsi="ＭＳ 明朝" w:hint="eastAsia"/>
          <w:snapToGrid w:val="0"/>
          <w:szCs w:val="24"/>
        </w:rPr>
        <w:t>％)</w:t>
      </w:r>
      <w:r w:rsidR="003F4263">
        <w:rPr>
          <w:rFonts w:hAnsi="ＭＳ 明朝" w:hint="eastAsia"/>
          <w:snapToGrid w:val="0"/>
          <w:szCs w:val="24"/>
        </w:rPr>
        <w:t>、</w:t>
      </w:r>
      <w:r w:rsidRPr="00ED4B83">
        <w:rPr>
          <w:rFonts w:hAnsi="ＭＳ 明朝" w:hint="eastAsia"/>
          <w:snapToGrid w:val="0"/>
          <w:szCs w:val="24"/>
        </w:rPr>
        <w:t>歳出で</w:t>
      </w:r>
      <w:r w:rsidR="003F4263">
        <w:rPr>
          <w:rFonts w:hAnsi="ＭＳ 明朝" w:hint="eastAsia"/>
          <w:snapToGrid w:val="0"/>
          <w:szCs w:val="24"/>
        </w:rPr>
        <w:t>10,581,726</w:t>
      </w:r>
      <w:r w:rsidRPr="00ED4B83">
        <w:rPr>
          <w:rFonts w:hAnsi="ＭＳ 明朝" w:hint="eastAsia"/>
          <w:snapToGrid w:val="0"/>
          <w:szCs w:val="24"/>
        </w:rPr>
        <w:t>千円</w:t>
      </w:r>
      <w:r w:rsidR="003F4263">
        <w:rPr>
          <w:rFonts w:hAnsi="ＭＳ 明朝" w:hint="eastAsia"/>
          <w:szCs w:val="24"/>
        </w:rPr>
        <w:t>(14.8</w:t>
      </w:r>
      <w:r w:rsidRPr="00ED4B83">
        <w:rPr>
          <w:rFonts w:hAnsi="ＭＳ 明朝" w:hint="eastAsia"/>
          <w:szCs w:val="24"/>
        </w:rPr>
        <w:t>％)</w:t>
      </w:r>
      <w:r w:rsidR="003F4263">
        <w:rPr>
          <w:rFonts w:hAnsi="ＭＳ 明朝" w:hint="eastAsia"/>
          <w:szCs w:val="24"/>
        </w:rPr>
        <w:t>それぞれ</w:t>
      </w:r>
      <w:r w:rsidRPr="00ED4B83">
        <w:rPr>
          <w:rFonts w:hAnsi="ＭＳ 明朝" w:hint="eastAsia"/>
          <w:snapToGrid w:val="0"/>
          <w:szCs w:val="24"/>
        </w:rPr>
        <w:t>増加している。</w:t>
      </w:r>
    </w:p>
    <w:p w:rsidR="00ED4B83" w:rsidRPr="003F4263" w:rsidRDefault="00ED4B83" w:rsidP="00ED4B83">
      <w:pPr>
        <w:kinsoku w:val="0"/>
        <w:overflowPunct w:val="0"/>
        <w:snapToGrid w:val="0"/>
        <w:spacing w:line="240" w:lineRule="auto"/>
        <w:ind w:left="240" w:rightChars="-67" w:right="-161" w:hangingChars="100" w:hanging="240"/>
        <w:rPr>
          <w:rFonts w:hAnsi="ＭＳ 明朝"/>
          <w:szCs w:val="24"/>
        </w:rPr>
      </w:pPr>
    </w:p>
    <w:p w:rsidR="00ED4B83" w:rsidRPr="00ED4B83" w:rsidRDefault="00ED4B83" w:rsidP="00ED4B83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  <w:r w:rsidRPr="00ED4B83">
        <w:rPr>
          <w:rFonts w:hAnsi="ＭＳ 明朝" w:hint="eastAsia"/>
          <w:szCs w:val="24"/>
        </w:rPr>
        <w:t xml:space="preserve">　</w:t>
      </w:r>
      <w:r w:rsidRPr="00DD0C22">
        <w:rPr>
          <w:rFonts w:ascii="ＭＳ ゴシック" w:eastAsia="ＭＳ ゴシック" w:hAnsi="ＭＳ ゴシック" w:hint="eastAsia"/>
          <w:kern w:val="2"/>
          <w:szCs w:val="24"/>
        </w:rPr>
        <w:t>一般会計決算規模</w:t>
      </w:r>
      <w:r w:rsidRPr="00ED4B83">
        <w:rPr>
          <w:rFonts w:hAnsi="ＭＳ 明朝" w:hint="eastAsia"/>
          <w:szCs w:val="24"/>
        </w:rPr>
        <w:t xml:space="preserve">　　　　</w:t>
      </w:r>
      <w:r w:rsidR="00DD0C22">
        <w:rPr>
          <w:rFonts w:hAnsi="ＭＳ 明朝" w:hint="eastAsia"/>
          <w:szCs w:val="24"/>
        </w:rPr>
        <w:t xml:space="preserve">　</w:t>
      </w:r>
      <w:r w:rsidRPr="00ED4B83">
        <w:rPr>
          <w:rFonts w:hAnsi="ＭＳ 明朝" w:hint="eastAsia"/>
          <w:szCs w:val="24"/>
        </w:rPr>
        <w:t xml:space="preserve">　　　　</w:t>
      </w:r>
      <w:r w:rsidR="00DD0C22">
        <w:rPr>
          <w:rFonts w:hAnsi="ＭＳ 明朝" w:hint="eastAsia"/>
          <w:szCs w:val="24"/>
        </w:rPr>
        <w:t xml:space="preserve">　　　　</w:t>
      </w:r>
      <w:r w:rsidR="0049196E">
        <w:rPr>
          <w:rFonts w:hAnsi="ＭＳ 明朝" w:hint="eastAsia"/>
          <w:szCs w:val="24"/>
        </w:rPr>
        <w:t xml:space="preserve">　</w:t>
      </w:r>
      <w:r w:rsidR="00DD0C22">
        <w:rPr>
          <w:rFonts w:hAnsi="ＭＳ 明朝" w:hint="eastAsia"/>
          <w:szCs w:val="24"/>
        </w:rPr>
        <w:t xml:space="preserve">　</w:t>
      </w:r>
      <w:r w:rsidRPr="00ED4B83">
        <w:rPr>
          <w:rFonts w:hAnsi="ＭＳ 明朝" w:hint="eastAsia"/>
          <w:szCs w:val="24"/>
        </w:rPr>
        <w:t xml:space="preserve">　　　　　　　（単位：千円・％）</w:t>
      </w:r>
    </w:p>
    <w:bookmarkStart w:id="0" w:name="_MON_1438580778"/>
    <w:bookmarkEnd w:id="0"/>
    <w:p w:rsidR="00ED4B83" w:rsidRPr="00DD0C22" w:rsidRDefault="0049196E" w:rsidP="00ED4B83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9581" w:dyaOrig="27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135.75pt" o:ole="">
            <v:imagedata r:id="rId7" o:title=""/>
          </v:shape>
          <o:OLEObject Type="Embed" ProgID="Excel.Sheet.12" ShapeID="_x0000_i1025" DrawAspect="Content" ObjectID="_1470661842" r:id="rId8"/>
        </w:object>
      </w:r>
    </w:p>
    <w:p w:rsidR="00DD0C22" w:rsidRPr="00255786" w:rsidRDefault="00DD0C22" w:rsidP="00DD0C22">
      <w:pPr>
        <w:kinsoku w:val="0"/>
        <w:overflowPunct w:val="0"/>
        <w:snapToGrid w:val="0"/>
        <w:spacing w:line="240" w:lineRule="auto"/>
        <w:ind w:firstLineChars="100" w:firstLine="240"/>
        <w:rPr>
          <w:rFonts w:ascii="ＭＳ ゴシック" w:eastAsia="ＭＳ ゴシック" w:hAnsi="ＭＳ ゴシック"/>
          <w:color w:val="0070C0"/>
          <w:szCs w:val="24"/>
        </w:rPr>
      </w:pPr>
      <w:r w:rsidRPr="00255786">
        <w:rPr>
          <w:rFonts w:ascii="ＭＳ ゴシック" w:eastAsia="ＭＳ ゴシック" w:hAnsi="ＭＳ ゴシック" w:hint="eastAsia"/>
          <w:szCs w:val="24"/>
        </w:rPr>
        <w:t>１　歳　　入</w:t>
      </w:r>
      <w:r w:rsidRPr="00255786">
        <w:rPr>
          <w:rFonts w:ascii="ＭＳ ゴシック" w:eastAsia="ＭＳ ゴシック" w:hAnsi="ＭＳ ゴシック" w:hint="eastAsia"/>
          <w:color w:val="0070C0"/>
          <w:szCs w:val="24"/>
        </w:rPr>
        <w:t xml:space="preserve">　</w:t>
      </w:r>
    </w:p>
    <w:p w:rsidR="00FF42B4" w:rsidRDefault="00FF42B4" w:rsidP="00DD0C22">
      <w:pPr>
        <w:kinsoku w:val="0"/>
        <w:overflowPunct w:val="0"/>
        <w:snapToGrid w:val="0"/>
        <w:spacing w:line="240" w:lineRule="auto"/>
        <w:ind w:firstLineChars="200" w:firstLine="480"/>
        <w:rPr>
          <w:rFonts w:asciiTheme="majorEastAsia" w:eastAsiaTheme="majorEastAsia" w:hAnsiTheme="majorEastAsia"/>
          <w:snapToGrid w:val="0"/>
          <w:szCs w:val="24"/>
        </w:rPr>
      </w:pPr>
    </w:p>
    <w:p w:rsidR="00DD0C22" w:rsidRDefault="00DD0C22" w:rsidP="00DD0C22">
      <w:pPr>
        <w:kinsoku w:val="0"/>
        <w:overflowPunct w:val="0"/>
        <w:snapToGrid w:val="0"/>
        <w:spacing w:line="240" w:lineRule="auto"/>
        <w:ind w:firstLineChars="200" w:firstLine="480"/>
        <w:rPr>
          <w:rFonts w:hAnsi="ＭＳ 明朝"/>
          <w:szCs w:val="24"/>
        </w:rPr>
      </w:pPr>
      <w:r w:rsidRPr="008A2D2E">
        <w:rPr>
          <w:rFonts w:asciiTheme="majorEastAsia" w:eastAsiaTheme="majorEastAsia" w:hAnsiTheme="majorEastAsia" w:hint="eastAsia"/>
          <w:snapToGrid w:val="0"/>
          <w:szCs w:val="24"/>
        </w:rPr>
        <w:t>一般会計歳入款別構成状況</w:t>
      </w:r>
      <w:r w:rsidRPr="00DD0C22">
        <w:rPr>
          <w:rFonts w:hAnsi="ＭＳ 明朝" w:hint="eastAsia"/>
          <w:b/>
          <w:szCs w:val="24"/>
        </w:rPr>
        <w:t xml:space="preserve">　　　　　　　　　　　</w:t>
      </w:r>
      <w:r w:rsidRPr="00DD0C22">
        <w:rPr>
          <w:rFonts w:hAnsi="ＭＳ 明朝" w:hint="eastAsia"/>
          <w:szCs w:val="24"/>
        </w:rPr>
        <w:t xml:space="preserve">　　　　　　　（単位：％）</w:t>
      </w:r>
    </w:p>
    <w:p w:rsidR="00940888" w:rsidRPr="00DD0C22" w:rsidRDefault="00940888" w:rsidP="00DD0C22">
      <w:pPr>
        <w:kinsoku w:val="0"/>
        <w:overflowPunct w:val="0"/>
        <w:snapToGrid w:val="0"/>
        <w:spacing w:line="240" w:lineRule="auto"/>
        <w:ind w:firstLineChars="200" w:firstLine="480"/>
        <w:rPr>
          <w:rFonts w:hAnsi="ＭＳ 明朝"/>
          <w:color w:val="0070C0"/>
          <w:szCs w:val="24"/>
        </w:rPr>
      </w:pPr>
    </w:p>
    <w:p w:rsidR="00DD0C22" w:rsidRPr="00940888" w:rsidRDefault="00DD0C22" w:rsidP="00940888">
      <w:pPr>
        <w:kinsoku w:val="0"/>
        <w:overflowPunct w:val="0"/>
        <w:snapToGrid w:val="0"/>
        <w:spacing w:line="240" w:lineRule="auto"/>
        <w:jc w:val="center"/>
        <w:rPr>
          <w:rFonts w:ascii="ＭＳ ゴシック" w:eastAsia="ＭＳ ゴシック" w:hAnsi="ＭＳ ゴシック"/>
          <w:bCs/>
          <w:szCs w:val="24"/>
        </w:rPr>
      </w:pPr>
      <w:r w:rsidRPr="00940888">
        <w:rPr>
          <w:rFonts w:ascii="ＭＳ ゴシック" w:eastAsia="ＭＳ ゴシック" w:hAnsi="ＭＳ ゴシック"/>
          <w:bCs/>
          <w:szCs w:val="24"/>
        </w:rPr>
        <w:t>平成</w:t>
      </w:r>
      <w:r w:rsidR="001D2024">
        <w:rPr>
          <w:rFonts w:ascii="ＭＳ ゴシック" w:eastAsia="ＭＳ ゴシック" w:hAnsi="ＭＳ ゴシック" w:hint="eastAsia"/>
          <w:bCs/>
          <w:szCs w:val="24"/>
        </w:rPr>
        <w:t>25</w:t>
      </w:r>
      <w:r w:rsidRPr="00940888">
        <w:rPr>
          <w:rFonts w:ascii="ＭＳ ゴシック" w:eastAsia="ＭＳ ゴシック" w:hAnsi="ＭＳ ゴシック"/>
          <w:bCs/>
          <w:szCs w:val="24"/>
        </w:rPr>
        <w:t xml:space="preserve">年度歳入決算額　</w:t>
      </w:r>
      <w:r w:rsidR="003F4263">
        <w:rPr>
          <w:rFonts w:ascii="ＭＳ ゴシック" w:eastAsia="ＭＳ ゴシック" w:hAnsi="ＭＳ ゴシック" w:hint="eastAsia"/>
          <w:bCs/>
          <w:szCs w:val="24"/>
        </w:rPr>
        <w:t>83</w:t>
      </w:r>
      <w:r w:rsidR="003F4263">
        <w:rPr>
          <w:rFonts w:ascii="ＭＳ ゴシック" w:eastAsia="ＭＳ ゴシック" w:hAnsi="ＭＳ ゴシック"/>
          <w:bCs/>
          <w:szCs w:val="24"/>
        </w:rPr>
        <w:t>,</w:t>
      </w:r>
      <w:r w:rsidR="003F4263">
        <w:rPr>
          <w:rFonts w:ascii="ＭＳ ゴシック" w:eastAsia="ＭＳ ゴシック" w:hAnsi="ＭＳ ゴシック" w:hint="eastAsia"/>
          <w:bCs/>
          <w:szCs w:val="24"/>
        </w:rPr>
        <w:t>362</w:t>
      </w:r>
      <w:r w:rsidR="003F4263">
        <w:rPr>
          <w:rFonts w:ascii="ＭＳ ゴシック" w:eastAsia="ＭＳ ゴシック" w:hAnsi="ＭＳ ゴシック"/>
          <w:bCs/>
          <w:szCs w:val="24"/>
        </w:rPr>
        <w:t>,</w:t>
      </w:r>
      <w:r w:rsidR="003F4263">
        <w:rPr>
          <w:rFonts w:ascii="ＭＳ ゴシック" w:eastAsia="ＭＳ ゴシック" w:hAnsi="ＭＳ ゴシック" w:hint="eastAsia"/>
          <w:bCs/>
          <w:szCs w:val="24"/>
        </w:rPr>
        <w:t>751</w:t>
      </w:r>
      <w:r w:rsidRPr="00940888">
        <w:rPr>
          <w:rFonts w:ascii="ＭＳ ゴシック" w:eastAsia="ＭＳ ゴシック" w:hAnsi="ＭＳ ゴシック"/>
          <w:bCs/>
          <w:szCs w:val="24"/>
        </w:rPr>
        <w:t>千円</w:t>
      </w:r>
    </w:p>
    <w:p w:rsidR="00255786" w:rsidRDefault="00353D2C" w:rsidP="00DD0C22">
      <w:pPr>
        <w:spacing w:line="240" w:lineRule="auto"/>
        <w:rPr>
          <w:rFonts w:hAnsi="ＭＳ 明朝"/>
          <w:szCs w:val="24"/>
        </w:rPr>
      </w:pPr>
      <w:r>
        <w:rPr>
          <w:rFonts w:hAnsi="ＭＳ 明朝"/>
          <w:noProof/>
          <w:szCs w:val="24"/>
        </w:rPr>
        <w:drawing>
          <wp:inline distT="0" distB="0" distL="0" distR="0">
            <wp:extent cx="6086475" cy="3581400"/>
            <wp:effectExtent l="0" t="0" r="0" b="0"/>
            <wp:docPr id="2" name="オブジェクト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E7FE5" w:rsidRPr="00940888" w:rsidRDefault="00940888" w:rsidP="00940888">
      <w:pPr>
        <w:spacing w:line="240" w:lineRule="auto"/>
        <w:jc w:val="right"/>
        <w:rPr>
          <w:rFonts w:hAnsi="ＭＳ 明朝"/>
          <w:sz w:val="22"/>
          <w:szCs w:val="22"/>
        </w:rPr>
      </w:pPr>
      <w:r w:rsidRPr="00940888">
        <w:rPr>
          <w:rFonts w:hAnsi="ＭＳ 明朝" w:hint="eastAsia"/>
          <w:sz w:val="22"/>
          <w:szCs w:val="22"/>
        </w:rPr>
        <w:t>※　(　)内は、</w:t>
      </w:r>
      <w:r w:rsidR="003F4263">
        <w:rPr>
          <w:rFonts w:hAnsi="ＭＳ 明朝" w:hint="eastAsia"/>
          <w:sz w:val="22"/>
          <w:szCs w:val="22"/>
        </w:rPr>
        <w:t>24</w:t>
      </w:r>
      <w:r w:rsidRPr="00940888">
        <w:rPr>
          <w:rFonts w:hAnsi="ＭＳ 明朝" w:hint="eastAsia"/>
          <w:sz w:val="22"/>
          <w:szCs w:val="22"/>
        </w:rPr>
        <w:t>年度数値</w:t>
      </w:r>
    </w:p>
    <w:p w:rsidR="00940888" w:rsidRPr="00621B2A" w:rsidRDefault="00940888" w:rsidP="00621B2A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621B2A">
        <w:rPr>
          <w:rFonts w:ascii="ＭＳ ゴシック" w:eastAsia="ＭＳ ゴシック" w:hAnsi="ＭＳ ゴシック" w:hint="eastAsia"/>
          <w:szCs w:val="24"/>
        </w:rPr>
        <w:lastRenderedPageBreak/>
        <w:t xml:space="preserve">⑴　</w:t>
      </w:r>
      <w:r w:rsidRPr="00621B2A">
        <w:rPr>
          <w:rFonts w:ascii="ＭＳ ゴシック" w:eastAsia="ＭＳ ゴシック" w:hAnsi="ＭＳ ゴシック" w:hint="eastAsia"/>
          <w:kern w:val="2"/>
          <w:szCs w:val="24"/>
        </w:rPr>
        <w:t>歳入の状況</w:t>
      </w:r>
    </w:p>
    <w:p w:rsidR="00491D15" w:rsidRDefault="00940888" w:rsidP="00491D15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3A3BC0">
        <w:rPr>
          <w:rFonts w:hAnsi="ＭＳ 明朝" w:hint="eastAsia"/>
          <w:szCs w:val="24"/>
        </w:rPr>
        <w:t>当年度の歳入決算額は</w:t>
      </w:r>
      <w:r w:rsidR="0097600A" w:rsidRPr="003A3BC0">
        <w:rPr>
          <w:rFonts w:hAnsi="ＭＳ 明朝" w:hint="eastAsia"/>
          <w:snapToGrid w:val="0"/>
          <w:szCs w:val="24"/>
        </w:rPr>
        <w:t>83,362,751</w:t>
      </w:r>
      <w:r w:rsidRPr="003A3BC0">
        <w:rPr>
          <w:rFonts w:hAnsi="ＭＳ 明朝" w:hint="eastAsia"/>
          <w:szCs w:val="24"/>
        </w:rPr>
        <w:t>千円で、予算現額</w:t>
      </w:r>
      <w:r w:rsidR="0097600A" w:rsidRPr="003A3BC0">
        <w:rPr>
          <w:rFonts w:hAnsi="ＭＳ 明朝"/>
          <w:szCs w:val="24"/>
        </w:rPr>
        <w:t>101</w:t>
      </w:r>
      <w:r w:rsidR="0097600A" w:rsidRPr="003A3BC0">
        <w:rPr>
          <w:rFonts w:hAnsi="ＭＳ 明朝" w:hint="eastAsia"/>
          <w:szCs w:val="24"/>
        </w:rPr>
        <w:t>,</w:t>
      </w:r>
      <w:r w:rsidR="0097600A" w:rsidRPr="003A3BC0">
        <w:rPr>
          <w:rFonts w:hAnsi="ＭＳ 明朝"/>
          <w:szCs w:val="24"/>
        </w:rPr>
        <w:t>503</w:t>
      </w:r>
      <w:r w:rsidR="0097600A" w:rsidRPr="003A3BC0">
        <w:rPr>
          <w:rFonts w:hAnsi="ＭＳ 明朝" w:hint="eastAsia"/>
          <w:szCs w:val="24"/>
        </w:rPr>
        <w:t>,</w:t>
      </w:r>
      <w:r w:rsidR="0097600A" w:rsidRPr="003A3BC0">
        <w:rPr>
          <w:rFonts w:hAnsi="ＭＳ 明朝"/>
          <w:szCs w:val="24"/>
        </w:rPr>
        <w:t>279</w:t>
      </w:r>
      <w:r w:rsidRPr="003A3BC0">
        <w:rPr>
          <w:rFonts w:hAnsi="ＭＳ 明朝" w:hint="eastAsia"/>
          <w:szCs w:val="24"/>
        </w:rPr>
        <w:t>千円に対して</w:t>
      </w:r>
    </w:p>
    <w:p w:rsidR="00491D15" w:rsidRDefault="00940888" w:rsidP="00491D15">
      <w:pPr>
        <w:kinsoku w:val="0"/>
        <w:overflowPunct w:val="0"/>
        <w:snapToGrid w:val="0"/>
        <w:spacing w:line="240" w:lineRule="auto"/>
        <w:ind w:leftChars="300" w:left="720"/>
        <w:jc w:val="distribute"/>
        <w:rPr>
          <w:rFonts w:hAnsi="ＭＳ 明朝"/>
          <w:szCs w:val="24"/>
        </w:rPr>
      </w:pPr>
      <w:r w:rsidRPr="003A3BC0">
        <w:rPr>
          <w:rFonts w:hAnsi="ＭＳ 明朝" w:hint="eastAsia"/>
          <w:szCs w:val="24"/>
        </w:rPr>
        <w:t>収入率は</w:t>
      </w:r>
      <w:r w:rsidR="00284931" w:rsidRPr="003A3BC0">
        <w:rPr>
          <w:rFonts w:hAnsi="ＭＳ 明朝" w:hint="eastAsia"/>
          <w:szCs w:val="24"/>
        </w:rPr>
        <w:t>82.1</w:t>
      </w:r>
      <w:r w:rsidRPr="003A3BC0">
        <w:rPr>
          <w:rFonts w:hAnsi="ＭＳ 明朝" w:hint="eastAsia"/>
          <w:szCs w:val="24"/>
        </w:rPr>
        <w:t>％(前年度</w:t>
      </w:r>
      <w:r w:rsidR="0097600A" w:rsidRPr="003A3BC0">
        <w:rPr>
          <w:rFonts w:hAnsi="ＭＳ 明朝" w:hint="eastAsia"/>
          <w:szCs w:val="24"/>
        </w:rPr>
        <w:t>79.4</w:t>
      </w:r>
      <w:r w:rsidRPr="003A3BC0">
        <w:rPr>
          <w:rFonts w:hAnsi="ＭＳ 明朝" w:hint="eastAsia"/>
          <w:szCs w:val="24"/>
        </w:rPr>
        <w:t>％)、調定額</w:t>
      </w:r>
      <w:r w:rsidR="00284931" w:rsidRPr="003A3BC0">
        <w:rPr>
          <w:rFonts w:hAnsi="ＭＳ 明朝" w:hint="eastAsia"/>
          <w:szCs w:val="24"/>
        </w:rPr>
        <w:t>100,879,015</w:t>
      </w:r>
      <w:r w:rsidRPr="003A3BC0">
        <w:rPr>
          <w:rFonts w:hAnsi="ＭＳ 明朝" w:hint="eastAsia"/>
          <w:szCs w:val="24"/>
        </w:rPr>
        <w:t>千円に対して収納率は</w:t>
      </w:r>
      <w:r w:rsidR="00284931" w:rsidRPr="003A3BC0">
        <w:rPr>
          <w:rFonts w:hAnsi="ＭＳ 明朝" w:hint="eastAsia"/>
          <w:szCs w:val="24"/>
        </w:rPr>
        <w:t>82.6</w:t>
      </w:r>
      <w:r w:rsidRPr="003A3BC0">
        <w:rPr>
          <w:rFonts w:hAnsi="ＭＳ 明朝" w:hint="eastAsia"/>
          <w:szCs w:val="24"/>
        </w:rPr>
        <w:t>％</w:t>
      </w:r>
    </w:p>
    <w:p w:rsidR="00940888" w:rsidRPr="003A3BC0" w:rsidRDefault="00940888" w:rsidP="00491D15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3A3BC0">
        <w:rPr>
          <w:rFonts w:hAnsi="ＭＳ 明朝" w:hint="eastAsia"/>
          <w:szCs w:val="24"/>
        </w:rPr>
        <w:t>(前年度</w:t>
      </w:r>
      <w:r w:rsidR="00284931" w:rsidRPr="003A3BC0">
        <w:rPr>
          <w:rFonts w:hAnsi="ＭＳ 明朝" w:hint="eastAsia"/>
          <w:szCs w:val="24"/>
        </w:rPr>
        <w:t>79.7</w:t>
      </w:r>
      <w:r w:rsidRPr="003A3BC0">
        <w:rPr>
          <w:rFonts w:hAnsi="ＭＳ 明朝" w:hint="eastAsia"/>
          <w:szCs w:val="24"/>
        </w:rPr>
        <w:t>％)となっている。</w:t>
      </w:r>
    </w:p>
    <w:p w:rsidR="00940888" w:rsidRDefault="00940888" w:rsidP="00621B2A">
      <w:pPr>
        <w:kinsoku w:val="0"/>
        <w:overflowPunct w:val="0"/>
        <w:snapToGrid w:val="0"/>
        <w:spacing w:line="240" w:lineRule="auto"/>
        <w:ind w:firstLineChars="400" w:firstLine="960"/>
        <w:rPr>
          <w:rFonts w:hAnsi="ＭＳ 明朝"/>
          <w:szCs w:val="24"/>
        </w:rPr>
      </w:pPr>
      <w:r w:rsidRPr="003A3BC0">
        <w:rPr>
          <w:rFonts w:hAnsi="ＭＳ 明朝" w:hint="eastAsia"/>
          <w:szCs w:val="24"/>
        </w:rPr>
        <w:t>収入済額は前年度に比べ</w:t>
      </w:r>
      <w:r w:rsidR="00284931" w:rsidRPr="003A3BC0">
        <w:rPr>
          <w:rFonts w:hAnsi="ＭＳ 明朝" w:hint="eastAsia"/>
          <w:szCs w:val="24"/>
        </w:rPr>
        <w:t>10,945,066</w:t>
      </w:r>
      <w:r w:rsidRPr="003A3BC0">
        <w:rPr>
          <w:rFonts w:hAnsi="ＭＳ 明朝" w:hint="eastAsia"/>
          <w:szCs w:val="24"/>
        </w:rPr>
        <w:t>千円(</w:t>
      </w:r>
      <w:r w:rsidR="00284931" w:rsidRPr="003A3BC0">
        <w:rPr>
          <w:rFonts w:hAnsi="ＭＳ 明朝" w:hint="eastAsia"/>
          <w:szCs w:val="24"/>
        </w:rPr>
        <w:t>15</w:t>
      </w:r>
      <w:r w:rsidRPr="003A3BC0">
        <w:rPr>
          <w:rFonts w:hAnsi="ＭＳ 明朝" w:hint="eastAsia"/>
          <w:szCs w:val="24"/>
        </w:rPr>
        <w:t>.1％)</w:t>
      </w:r>
      <w:r w:rsidR="00284931" w:rsidRPr="003A3BC0">
        <w:rPr>
          <w:rFonts w:hAnsi="ＭＳ 明朝" w:hint="eastAsia"/>
          <w:szCs w:val="24"/>
        </w:rPr>
        <w:t>増加</w:t>
      </w:r>
      <w:r w:rsidRPr="003A3BC0">
        <w:rPr>
          <w:rFonts w:hAnsi="ＭＳ 明朝" w:hint="eastAsia"/>
          <w:szCs w:val="24"/>
        </w:rPr>
        <w:t>している。</w:t>
      </w:r>
    </w:p>
    <w:p w:rsidR="00842D3A" w:rsidRDefault="00727955" w:rsidP="00842D3A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727955">
        <w:rPr>
          <w:rFonts w:hAnsi="ＭＳ 明朝" w:hint="eastAsia"/>
          <w:szCs w:val="24"/>
        </w:rPr>
        <w:t>これは主に、</w:t>
      </w:r>
      <w:r w:rsidRPr="00842D3A">
        <w:rPr>
          <w:rFonts w:hAnsi="ＭＳ 明朝" w:hint="eastAsia"/>
          <w:szCs w:val="24"/>
        </w:rPr>
        <w:t>諸収入で938,004千円（△16.5％）、地方譲与税で26,328千円</w:t>
      </w:r>
    </w:p>
    <w:p w:rsidR="001C753B" w:rsidRDefault="00727955" w:rsidP="0049196E">
      <w:pPr>
        <w:kinsoku w:val="0"/>
        <w:overflowPunct w:val="0"/>
        <w:snapToGrid w:val="0"/>
        <w:spacing w:line="240" w:lineRule="auto"/>
        <w:ind w:leftChars="300" w:left="720"/>
        <w:jc w:val="distribute"/>
        <w:rPr>
          <w:rFonts w:hAnsi="ＭＳ 明朝"/>
          <w:szCs w:val="24"/>
        </w:rPr>
      </w:pPr>
      <w:r w:rsidRPr="00842D3A">
        <w:rPr>
          <w:rFonts w:hAnsi="ＭＳ 明朝" w:hint="eastAsia"/>
          <w:szCs w:val="24"/>
        </w:rPr>
        <w:t>（△4.2</w:t>
      </w:r>
      <w:r w:rsidR="001C753B">
        <w:rPr>
          <w:rFonts w:hAnsi="ＭＳ 明朝" w:hint="eastAsia"/>
          <w:szCs w:val="24"/>
        </w:rPr>
        <w:t>％）</w:t>
      </w:r>
      <w:r w:rsidRPr="00842D3A">
        <w:rPr>
          <w:rFonts w:hAnsi="ＭＳ 明朝" w:hint="eastAsia"/>
          <w:szCs w:val="24"/>
        </w:rPr>
        <w:t>とそれぞれ減少したものの、</w:t>
      </w:r>
      <w:r w:rsidR="002D15FF" w:rsidRPr="00842D3A">
        <w:rPr>
          <w:rFonts w:hAnsi="ＭＳ 明朝" w:hint="eastAsia"/>
          <w:szCs w:val="24"/>
        </w:rPr>
        <w:t>国庫支出金</w:t>
      </w:r>
      <w:r w:rsidR="00940888" w:rsidRPr="00842D3A">
        <w:rPr>
          <w:rFonts w:hAnsi="ＭＳ 明朝" w:hint="eastAsia"/>
          <w:szCs w:val="24"/>
        </w:rPr>
        <w:t>で</w:t>
      </w:r>
      <w:r w:rsidR="00D155AA" w:rsidRPr="00842D3A">
        <w:rPr>
          <w:rFonts w:hAnsi="ＭＳ 明朝" w:hint="eastAsia"/>
          <w:szCs w:val="24"/>
        </w:rPr>
        <w:t>7,584,374</w:t>
      </w:r>
      <w:r w:rsidR="00491D15" w:rsidRPr="00842D3A">
        <w:rPr>
          <w:rFonts w:hAnsi="ＭＳ 明朝" w:hint="eastAsia"/>
          <w:szCs w:val="24"/>
        </w:rPr>
        <w:t>千円(</w:t>
      </w:r>
      <w:r w:rsidR="002D15FF" w:rsidRPr="00842D3A">
        <w:rPr>
          <w:rFonts w:hAnsi="ＭＳ 明朝" w:hint="eastAsia"/>
          <w:szCs w:val="24"/>
        </w:rPr>
        <w:t>82.9</w:t>
      </w:r>
      <w:r w:rsidR="00940888" w:rsidRPr="00842D3A">
        <w:rPr>
          <w:rFonts w:hAnsi="ＭＳ 明朝" w:hint="eastAsia"/>
          <w:szCs w:val="24"/>
        </w:rPr>
        <w:t>％）</w:t>
      </w:r>
      <w:r w:rsidR="002D15FF" w:rsidRPr="00842D3A">
        <w:rPr>
          <w:rFonts w:hAnsi="ＭＳ 明朝" w:hint="eastAsia"/>
          <w:szCs w:val="24"/>
        </w:rPr>
        <w:t>、</w:t>
      </w:r>
    </w:p>
    <w:p w:rsidR="0049196E" w:rsidRDefault="00D82582" w:rsidP="001C753B">
      <w:pPr>
        <w:kinsoku w:val="0"/>
        <w:overflowPunct w:val="0"/>
        <w:snapToGrid w:val="0"/>
        <w:spacing w:line="240" w:lineRule="auto"/>
        <w:ind w:leftChars="300" w:left="720"/>
        <w:jc w:val="distribute"/>
        <w:rPr>
          <w:rFonts w:hAnsi="ＭＳ 明朝"/>
          <w:szCs w:val="24"/>
        </w:rPr>
      </w:pPr>
      <w:r w:rsidRPr="00842D3A">
        <w:rPr>
          <w:rFonts w:hAnsi="ＭＳ 明朝" w:hint="eastAsia"/>
          <w:szCs w:val="24"/>
        </w:rPr>
        <w:t>市債で2,260,200千円(19.9</w:t>
      </w:r>
      <w:r w:rsidR="001C753B" w:rsidRPr="00842D3A">
        <w:rPr>
          <w:rFonts w:hAnsi="ＭＳ 明朝" w:hint="eastAsia"/>
          <w:szCs w:val="24"/>
        </w:rPr>
        <w:t>％</w:t>
      </w:r>
      <w:r w:rsidRPr="00842D3A">
        <w:rPr>
          <w:rFonts w:hAnsi="ＭＳ 明朝" w:hint="eastAsia"/>
          <w:szCs w:val="24"/>
        </w:rPr>
        <w:t>)</w:t>
      </w:r>
      <w:r w:rsidR="00491D15" w:rsidRPr="00842D3A">
        <w:rPr>
          <w:rFonts w:hAnsi="ＭＳ 明朝" w:hint="eastAsia"/>
          <w:szCs w:val="24"/>
        </w:rPr>
        <w:t>、</w:t>
      </w:r>
      <w:r w:rsidR="002D15FF" w:rsidRPr="00842D3A">
        <w:rPr>
          <w:rFonts w:hAnsi="ＭＳ 明朝" w:hint="eastAsia"/>
          <w:szCs w:val="24"/>
        </w:rPr>
        <w:t>分担</w:t>
      </w:r>
      <w:r w:rsidR="00940888" w:rsidRPr="00842D3A">
        <w:rPr>
          <w:rFonts w:hAnsi="ＭＳ 明朝" w:hint="eastAsia"/>
          <w:szCs w:val="24"/>
        </w:rPr>
        <w:t>金</w:t>
      </w:r>
      <w:r w:rsidR="002D15FF" w:rsidRPr="00842D3A">
        <w:rPr>
          <w:rFonts w:hAnsi="ＭＳ 明朝" w:hint="eastAsia"/>
          <w:szCs w:val="24"/>
        </w:rPr>
        <w:t>及び負担金</w:t>
      </w:r>
      <w:r w:rsidR="00940888" w:rsidRPr="00842D3A">
        <w:rPr>
          <w:rFonts w:hAnsi="ＭＳ 明朝" w:hint="eastAsia"/>
          <w:szCs w:val="24"/>
        </w:rPr>
        <w:t>で</w:t>
      </w:r>
      <w:r w:rsidR="002D15FF" w:rsidRPr="00842D3A">
        <w:rPr>
          <w:rFonts w:hAnsi="ＭＳ 明朝" w:hint="eastAsia"/>
          <w:szCs w:val="24"/>
        </w:rPr>
        <w:t>496,329</w:t>
      </w:r>
      <w:r w:rsidR="001C753B">
        <w:rPr>
          <w:rFonts w:hAnsi="ＭＳ 明朝" w:hint="eastAsia"/>
          <w:szCs w:val="24"/>
        </w:rPr>
        <w:t>千円(</w:t>
      </w:r>
      <w:r w:rsidRPr="00842D3A">
        <w:rPr>
          <w:rFonts w:hAnsi="ＭＳ 明朝" w:hint="eastAsia"/>
          <w:szCs w:val="24"/>
        </w:rPr>
        <w:t>43.5</w:t>
      </w:r>
      <w:r w:rsidR="001C753B">
        <w:rPr>
          <w:rFonts w:hAnsi="ＭＳ 明朝" w:hint="eastAsia"/>
          <w:szCs w:val="24"/>
        </w:rPr>
        <w:t>％)</w:t>
      </w:r>
      <w:r w:rsidR="0049196E">
        <w:rPr>
          <w:rFonts w:hAnsi="ＭＳ 明朝" w:hint="eastAsia"/>
          <w:szCs w:val="24"/>
        </w:rPr>
        <w:t>、</w:t>
      </w:r>
    </w:p>
    <w:p w:rsidR="00940888" w:rsidRDefault="0049196E" w:rsidP="0049196E">
      <w:pPr>
        <w:kinsoku w:val="0"/>
        <w:overflowPunct w:val="0"/>
        <w:snapToGrid w:val="0"/>
        <w:spacing w:line="240" w:lineRule="auto"/>
        <w:ind w:leftChars="300" w:left="720"/>
        <w:jc w:val="lef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市税で92,459</w:t>
      </w:r>
      <w:r w:rsidRPr="00842D3A">
        <w:rPr>
          <w:rFonts w:hAnsi="ＭＳ 明朝" w:hint="eastAsia"/>
          <w:szCs w:val="24"/>
        </w:rPr>
        <w:t>千円(</w:t>
      </w:r>
      <w:r>
        <w:rPr>
          <w:rFonts w:hAnsi="ＭＳ 明朝" w:hint="eastAsia"/>
          <w:szCs w:val="24"/>
        </w:rPr>
        <w:t>0.4</w:t>
      </w:r>
      <w:r w:rsidRPr="00842D3A">
        <w:rPr>
          <w:rFonts w:hAnsi="ＭＳ 明朝" w:hint="eastAsia"/>
          <w:szCs w:val="24"/>
        </w:rPr>
        <w:t>％</w:t>
      </w:r>
      <w:r>
        <w:rPr>
          <w:rFonts w:hAnsi="ＭＳ 明朝" w:hint="eastAsia"/>
          <w:szCs w:val="24"/>
        </w:rPr>
        <w:t>)</w:t>
      </w:r>
      <w:r w:rsidR="00940888" w:rsidRPr="00842D3A">
        <w:rPr>
          <w:rFonts w:hAnsi="ＭＳ 明朝" w:hint="eastAsia"/>
          <w:szCs w:val="24"/>
        </w:rPr>
        <w:t>とそれぞれ増加したことによるもので</w:t>
      </w:r>
      <w:r w:rsidR="00940888" w:rsidRPr="003A3BC0">
        <w:rPr>
          <w:rFonts w:hAnsi="ＭＳ 明朝" w:hint="eastAsia"/>
          <w:szCs w:val="24"/>
        </w:rPr>
        <w:t>ある。</w:t>
      </w:r>
    </w:p>
    <w:p w:rsidR="00661788" w:rsidRDefault="00727955" w:rsidP="001C753B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2F5AED">
        <w:rPr>
          <w:rFonts w:hAnsi="ＭＳ 明朝" w:hint="eastAsia"/>
          <w:szCs w:val="24"/>
        </w:rPr>
        <w:t>諸収入</w:t>
      </w:r>
      <w:r w:rsidR="001C753B">
        <w:rPr>
          <w:rFonts w:hAnsi="ＭＳ 明朝" w:hint="eastAsia"/>
          <w:szCs w:val="24"/>
        </w:rPr>
        <w:t>の</w:t>
      </w:r>
      <w:r>
        <w:rPr>
          <w:rFonts w:hAnsi="ＭＳ 明朝" w:hint="eastAsia"/>
          <w:szCs w:val="24"/>
        </w:rPr>
        <w:t>減少</w:t>
      </w:r>
      <w:r w:rsidR="001C753B">
        <w:rPr>
          <w:rFonts w:hAnsi="ＭＳ 明朝" w:hint="eastAsia"/>
          <w:szCs w:val="24"/>
        </w:rPr>
        <w:t>の</w:t>
      </w:r>
      <w:r w:rsidRPr="00EA14EE">
        <w:rPr>
          <w:rFonts w:hAnsi="ＭＳ 明朝" w:hint="eastAsia"/>
          <w:szCs w:val="24"/>
        </w:rPr>
        <w:t>主</w:t>
      </w:r>
      <w:r w:rsidR="001C753B">
        <w:rPr>
          <w:rFonts w:hAnsi="ＭＳ 明朝" w:hint="eastAsia"/>
          <w:szCs w:val="24"/>
        </w:rPr>
        <w:t>な要因は、</w:t>
      </w:r>
      <w:r w:rsidRPr="00EA14EE">
        <w:rPr>
          <w:rFonts w:hAnsi="ＭＳ 明朝" w:hint="eastAsia"/>
          <w:szCs w:val="24"/>
        </w:rPr>
        <w:t>北陸自動車道新ＩＣ整備事業費負担金、北陸新幹線建設受</w:t>
      </w:r>
      <w:r w:rsidR="00661788" w:rsidRPr="00EA14EE">
        <w:rPr>
          <w:rFonts w:hAnsi="ＭＳ 明朝" w:hint="eastAsia"/>
          <w:szCs w:val="24"/>
        </w:rPr>
        <w:t>託事業収入などが</w:t>
      </w:r>
      <w:r w:rsidRPr="00EA14EE">
        <w:rPr>
          <w:rFonts w:hAnsi="ＭＳ 明朝" w:hint="eastAsia"/>
          <w:szCs w:val="24"/>
        </w:rPr>
        <w:t>減少</w:t>
      </w:r>
      <w:r w:rsidR="00661788" w:rsidRPr="00EA14EE">
        <w:rPr>
          <w:rFonts w:hAnsi="ＭＳ 明朝" w:hint="eastAsia"/>
          <w:szCs w:val="24"/>
        </w:rPr>
        <w:t>したこと</w:t>
      </w:r>
      <w:r w:rsidRPr="00EA14EE">
        <w:rPr>
          <w:rFonts w:hAnsi="ＭＳ 明朝" w:hint="eastAsia"/>
          <w:szCs w:val="24"/>
        </w:rPr>
        <w:t>によるものである。</w:t>
      </w:r>
      <w:r w:rsidR="00661788" w:rsidRPr="00EA14EE">
        <w:rPr>
          <w:rFonts w:hAnsi="ＭＳ 明朝" w:hint="eastAsia"/>
          <w:szCs w:val="24"/>
        </w:rPr>
        <w:t>地方譲与税においては、</w:t>
      </w:r>
      <w:r w:rsidR="0049196E">
        <w:rPr>
          <w:rFonts w:hAnsi="ＭＳ 明朝" w:hint="eastAsia"/>
          <w:szCs w:val="24"/>
        </w:rPr>
        <w:t>主に</w:t>
      </w:r>
      <w:r w:rsidR="00661788" w:rsidRPr="00EA14EE">
        <w:rPr>
          <w:rFonts w:hAnsi="ＭＳ 明朝" w:hint="eastAsia"/>
          <w:szCs w:val="24"/>
        </w:rPr>
        <w:t>自動車重量譲与税</w:t>
      </w:r>
      <w:r w:rsidR="0049196E">
        <w:rPr>
          <w:rFonts w:hAnsi="ＭＳ 明朝" w:hint="eastAsia"/>
          <w:szCs w:val="24"/>
        </w:rPr>
        <w:t>が</w:t>
      </w:r>
      <w:r w:rsidR="00661788">
        <w:rPr>
          <w:rFonts w:hAnsi="ＭＳ 明朝" w:hint="eastAsia"/>
          <w:szCs w:val="24"/>
        </w:rPr>
        <w:t>減少</w:t>
      </w:r>
      <w:r w:rsidR="0049196E">
        <w:rPr>
          <w:rFonts w:hAnsi="ＭＳ 明朝" w:hint="eastAsia"/>
          <w:szCs w:val="24"/>
        </w:rPr>
        <w:t>したこと</w:t>
      </w:r>
      <w:r w:rsidR="00661788">
        <w:rPr>
          <w:rFonts w:hAnsi="ＭＳ 明朝" w:hint="eastAsia"/>
          <w:szCs w:val="24"/>
        </w:rPr>
        <w:t>によるものである</w:t>
      </w:r>
      <w:r w:rsidR="00661788" w:rsidRPr="002F5AED">
        <w:rPr>
          <w:rFonts w:hAnsi="ＭＳ 明朝" w:hint="eastAsia"/>
          <w:szCs w:val="24"/>
        </w:rPr>
        <w:t>。</w:t>
      </w:r>
    </w:p>
    <w:p w:rsidR="00F13BD3" w:rsidRDefault="00FC1ED7" w:rsidP="00F13BD3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C0188E">
        <w:rPr>
          <w:rFonts w:hAnsi="ＭＳ 明朝" w:hint="eastAsia"/>
          <w:szCs w:val="24"/>
        </w:rPr>
        <w:t>一方、</w:t>
      </w:r>
      <w:r w:rsidR="0049196E" w:rsidRPr="00C0188E">
        <w:rPr>
          <w:rFonts w:hAnsi="ＭＳ 明朝" w:hint="eastAsia"/>
          <w:szCs w:val="24"/>
        </w:rPr>
        <w:t>歳入</w:t>
      </w:r>
      <w:r w:rsidR="00427CAB" w:rsidRPr="00C0188E">
        <w:rPr>
          <w:rFonts w:hAnsi="ＭＳ 明朝" w:hint="eastAsia"/>
          <w:szCs w:val="24"/>
        </w:rPr>
        <w:t>全体の</w:t>
      </w:r>
      <w:r w:rsidR="00E76E5F" w:rsidRPr="00C0188E">
        <w:rPr>
          <w:rFonts w:hAnsi="ＭＳ 明朝" w:hint="eastAsia"/>
          <w:szCs w:val="24"/>
        </w:rPr>
        <w:t>30.3％</w:t>
      </w:r>
      <w:r w:rsidR="0049196E" w:rsidRPr="00C0188E">
        <w:rPr>
          <w:rFonts w:hAnsi="ＭＳ 明朝" w:hint="eastAsia"/>
          <w:szCs w:val="24"/>
        </w:rPr>
        <w:t>を占める市税は</w:t>
      </w:r>
      <w:r w:rsidR="009014B7" w:rsidRPr="00C0188E">
        <w:rPr>
          <w:rFonts w:hAnsi="ＭＳ 明朝" w:hint="eastAsia"/>
          <w:szCs w:val="24"/>
        </w:rPr>
        <w:t>25,281,733千円で、</w:t>
      </w:r>
      <w:r w:rsidR="00427CAB" w:rsidRPr="00C0188E">
        <w:rPr>
          <w:rFonts w:hAnsi="ＭＳ 明朝" w:hint="eastAsia"/>
          <w:szCs w:val="24"/>
        </w:rPr>
        <w:t>主なものは</w:t>
      </w:r>
      <w:r w:rsidR="00C0188E" w:rsidRPr="00C0188E">
        <w:rPr>
          <w:rFonts w:hAnsi="ＭＳ 明朝" w:hint="eastAsia"/>
          <w:szCs w:val="24"/>
        </w:rPr>
        <w:t>固定</w:t>
      </w:r>
    </w:p>
    <w:p w:rsidR="00FC1ED7" w:rsidRPr="00C0188E" w:rsidRDefault="00C0188E" w:rsidP="00F13BD3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C0188E">
        <w:rPr>
          <w:rFonts w:hAnsi="ＭＳ 明朝" w:hint="eastAsia"/>
          <w:szCs w:val="24"/>
        </w:rPr>
        <w:t>資産税</w:t>
      </w:r>
      <w:r w:rsidR="00F13BD3">
        <w:rPr>
          <w:rFonts w:hAnsi="ＭＳ 明朝" w:hint="eastAsia"/>
          <w:szCs w:val="24"/>
        </w:rPr>
        <w:t>、</w:t>
      </w:r>
      <w:r w:rsidR="00E76E5F" w:rsidRPr="00F13BD3">
        <w:rPr>
          <w:rFonts w:hAnsi="ＭＳ 明朝" w:hint="eastAsia"/>
          <w:szCs w:val="24"/>
        </w:rPr>
        <w:t>市民税</w:t>
      </w:r>
      <w:r w:rsidR="008A251D" w:rsidRPr="00C0188E">
        <w:rPr>
          <w:rFonts w:hAnsi="ＭＳ 明朝" w:hint="eastAsia"/>
          <w:szCs w:val="24"/>
        </w:rPr>
        <w:t>、市たばこ税</w:t>
      </w:r>
      <w:r w:rsidR="00F13BD3" w:rsidRPr="0028289D">
        <w:rPr>
          <w:rFonts w:hAnsi="ＭＳ 明朝" w:hint="eastAsia"/>
          <w:szCs w:val="24"/>
        </w:rPr>
        <w:t>などと</w:t>
      </w:r>
      <w:r w:rsidR="00F13BD3">
        <w:rPr>
          <w:rFonts w:hAnsi="ＭＳ 明朝" w:hint="eastAsia"/>
          <w:szCs w:val="24"/>
        </w:rPr>
        <w:t>なっている</w:t>
      </w:r>
      <w:r w:rsidR="00F13BD3" w:rsidRPr="0028289D">
        <w:rPr>
          <w:rFonts w:hAnsi="ＭＳ 明朝" w:hint="eastAsia"/>
          <w:szCs w:val="24"/>
        </w:rPr>
        <w:t>。</w:t>
      </w:r>
    </w:p>
    <w:p w:rsidR="00940888" w:rsidRPr="00C0188E" w:rsidRDefault="007D0A8D" w:rsidP="003F089E">
      <w:pPr>
        <w:kinsoku w:val="0"/>
        <w:overflowPunct w:val="0"/>
        <w:snapToGrid w:val="0"/>
        <w:spacing w:line="240" w:lineRule="auto"/>
        <w:ind w:leftChars="300" w:left="720" w:firstLineChars="100" w:firstLine="235"/>
        <w:rPr>
          <w:rFonts w:hAnsi="ＭＳ 明朝"/>
          <w:szCs w:val="24"/>
        </w:rPr>
      </w:pPr>
      <w:r w:rsidRPr="003F089E">
        <w:rPr>
          <w:rFonts w:hAnsi="ＭＳ 明朝" w:hint="eastAsia"/>
          <w:spacing w:val="1"/>
          <w:w w:val="97"/>
          <w:szCs w:val="24"/>
          <w:fitText w:val="8658" w:id="675547648"/>
        </w:rPr>
        <w:t>国庫支出金</w:t>
      </w:r>
      <w:r w:rsidR="00940888" w:rsidRPr="003F089E">
        <w:rPr>
          <w:rFonts w:hAnsi="ＭＳ 明朝" w:hint="eastAsia"/>
          <w:spacing w:val="1"/>
          <w:w w:val="97"/>
          <w:szCs w:val="24"/>
          <w:fitText w:val="8658" w:id="675547648"/>
        </w:rPr>
        <w:t>の収入済額は</w:t>
      </w:r>
      <w:r w:rsidR="00BE6A23" w:rsidRPr="003F089E">
        <w:rPr>
          <w:rFonts w:hAnsi="ＭＳ 明朝" w:hint="eastAsia"/>
          <w:spacing w:val="1"/>
          <w:w w:val="97"/>
          <w:szCs w:val="24"/>
          <w:fitText w:val="8658" w:id="675547648"/>
        </w:rPr>
        <w:t>16</w:t>
      </w:r>
      <w:r w:rsidR="00940888" w:rsidRPr="003F089E">
        <w:rPr>
          <w:rFonts w:hAnsi="ＭＳ 明朝" w:hint="eastAsia"/>
          <w:spacing w:val="1"/>
          <w:w w:val="97"/>
          <w:szCs w:val="24"/>
          <w:fitText w:val="8658" w:id="675547648"/>
        </w:rPr>
        <w:t>,</w:t>
      </w:r>
      <w:r w:rsidR="00BE6A23" w:rsidRPr="003F089E">
        <w:rPr>
          <w:rFonts w:hAnsi="ＭＳ 明朝" w:hint="eastAsia"/>
          <w:spacing w:val="1"/>
          <w:w w:val="97"/>
          <w:szCs w:val="24"/>
          <w:fitText w:val="8658" w:id="675547648"/>
        </w:rPr>
        <w:t>736</w:t>
      </w:r>
      <w:r w:rsidR="00940888" w:rsidRPr="003F089E">
        <w:rPr>
          <w:rFonts w:hAnsi="ＭＳ 明朝" w:hint="eastAsia"/>
          <w:spacing w:val="1"/>
          <w:w w:val="97"/>
          <w:szCs w:val="24"/>
          <w:fitText w:val="8658" w:id="675547648"/>
        </w:rPr>
        <w:t>,</w:t>
      </w:r>
      <w:r w:rsidR="00BE6A23" w:rsidRPr="003F089E">
        <w:rPr>
          <w:rFonts w:hAnsi="ＭＳ 明朝" w:hint="eastAsia"/>
          <w:spacing w:val="1"/>
          <w:w w:val="97"/>
          <w:szCs w:val="24"/>
          <w:fitText w:val="8658" w:id="675547648"/>
        </w:rPr>
        <w:t>53</w:t>
      </w:r>
      <w:r w:rsidR="00D155AA" w:rsidRPr="003F089E">
        <w:rPr>
          <w:rFonts w:hAnsi="ＭＳ 明朝" w:hint="eastAsia"/>
          <w:spacing w:val="1"/>
          <w:w w:val="97"/>
          <w:szCs w:val="24"/>
          <w:fitText w:val="8658" w:id="675547648"/>
        </w:rPr>
        <w:t>2</w:t>
      </w:r>
      <w:r w:rsidR="003309ED" w:rsidRPr="003F089E">
        <w:rPr>
          <w:rFonts w:hAnsi="ＭＳ 明朝" w:hint="eastAsia"/>
          <w:spacing w:val="1"/>
          <w:w w:val="97"/>
          <w:szCs w:val="24"/>
          <w:fitText w:val="8658" w:id="675547648"/>
        </w:rPr>
        <w:t>千円</w:t>
      </w:r>
      <w:r w:rsidR="009014B7" w:rsidRPr="003F089E">
        <w:rPr>
          <w:rFonts w:hAnsi="ＭＳ 明朝" w:hint="eastAsia"/>
          <w:spacing w:val="1"/>
          <w:w w:val="97"/>
          <w:szCs w:val="24"/>
          <w:fitText w:val="8658" w:id="675547648"/>
        </w:rPr>
        <w:t>で、主なものは</w:t>
      </w:r>
      <w:r w:rsidR="0050727E" w:rsidRPr="003F089E">
        <w:rPr>
          <w:rFonts w:hAnsi="ＭＳ 明朝" w:hint="eastAsia"/>
          <w:spacing w:val="1"/>
          <w:w w:val="97"/>
          <w:szCs w:val="24"/>
          <w:fitText w:val="8658" w:id="675547648"/>
        </w:rPr>
        <w:t>社会資本整備総合交付金</w:t>
      </w:r>
      <w:r w:rsidR="009014B7" w:rsidRPr="003F089E">
        <w:rPr>
          <w:rFonts w:hAnsi="ＭＳ 明朝" w:hint="eastAsia"/>
          <w:spacing w:val="-8"/>
          <w:w w:val="97"/>
          <w:szCs w:val="24"/>
          <w:fitText w:val="8658" w:id="675547648"/>
        </w:rPr>
        <w:t>、</w:t>
      </w:r>
      <w:r w:rsidR="0050727E" w:rsidRPr="00C0188E">
        <w:rPr>
          <w:rFonts w:hAnsi="ＭＳ 明朝" w:hint="eastAsia"/>
          <w:szCs w:val="24"/>
        </w:rPr>
        <w:t>地域経済活性化・雇用創出臨時交付金など</w:t>
      </w:r>
      <w:r w:rsidR="003309ED" w:rsidRPr="00C0188E">
        <w:rPr>
          <w:rFonts w:hAnsi="ＭＳ 明朝" w:hint="eastAsia"/>
          <w:szCs w:val="24"/>
        </w:rPr>
        <w:t>と</w:t>
      </w:r>
      <w:r w:rsidR="009014B7" w:rsidRPr="00C0188E">
        <w:rPr>
          <w:rFonts w:hAnsi="ＭＳ 明朝" w:hint="eastAsia"/>
          <w:szCs w:val="24"/>
        </w:rPr>
        <w:t>なっている</w:t>
      </w:r>
      <w:r w:rsidR="0050727E" w:rsidRPr="00C0188E">
        <w:rPr>
          <w:rFonts w:hAnsi="ＭＳ 明朝" w:hint="eastAsia"/>
          <w:szCs w:val="24"/>
        </w:rPr>
        <w:t>。</w:t>
      </w:r>
    </w:p>
    <w:p w:rsidR="0028289D" w:rsidRPr="0028289D" w:rsidRDefault="00D3426B" w:rsidP="00427CAB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C0188E">
        <w:rPr>
          <w:rFonts w:hAnsi="ＭＳ 明朝" w:hint="eastAsia"/>
          <w:szCs w:val="24"/>
        </w:rPr>
        <w:t>市債</w:t>
      </w:r>
      <w:r w:rsidR="00940888" w:rsidRPr="00C0188E">
        <w:rPr>
          <w:rFonts w:hAnsi="ＭＳ 明朝" w:hint="eastAsia"/>
          <w:szCs w:val="24"/>
        </w:rPr>
        <w:t>の収入済額は</w:t>
      </w:r>
      <w:r w:rsidRPr="00C0188E">
        <w:rPr>
          <w:rFonts w:hAnsi="ＭＳ 明朝" w:hint="eastAsia"/>
          <w:szCs w:val="24"/>
        </w:rPr>
        <w:t>13,629,600</w:t>
      </w:r>
      <w:r w:rsidR="00940888" w:rsidRPr="00C0188E">
        <w:rPr>
          <w:rFonts w:hAnsi="ＭＳ 明朝" w:hint="eastAsia"/>
          <w:szCs w:val="24"/>
        </w:rPr>
        <w:t>千円</w:t>
      </w:r>
      <w:r w:rsidR="009014B7" w:rsidRPr="00C0188E">
        <w:rPr>
          <w:rFonts w:hAnsi="ＭＳ 明朝" w:hint="eastAsia"/>
          <w:szCs w:val="24"/>
        </w:rPr>
        <w:t>で、主なものは</w:t>
      </w:r>
      <w:r w:rsidR="003309ED" w:rsidRPr="00C0188E">
        <w:rPr>
          <w:rFonts w:hAnsi="ＭＳ 明朝" w:hint="eastAsia"/>
          <w:szCs w:val="24"/>
        </w:rPr>
        <w:t>北陸新幹線対</w:t>
      </w:r>
      <w:r w:rsidR="003309ED" w:rsidRPr="0028289D">
        <w:rPr>
          <w:rFonts w:hAnsi="ＭＳ 明朝" w:hint="eastAsia"/>
          <w:szCs w:val="24"/>
        </w:rPr>
        <w:t>策</w:t>
      </w:r>
      <w:r w:rsidR="003309ED" w:rsidRPr="009014B7">
        <w:rPr>
          <w:rFonts w:hAnsi="ＭＳ 明朝" w:hint="eastAsia"/>
          <w:szCs w:val="24"/>
        </w:rPr>
        <w:t>事業債</w:t>
      </w:r>
      <w:r w:rsidR="0028289D" w:rsidRPr="009014B7">
        <w:rPr>
          <w:rFonts w:hAnsi="ＭＳ 明朝" w:hint="eastAsia"/>
          <w:szCs w:val="24"/>
        </w:rPr>
        <w:t>、</w:t>
      </w:r>
      <w:r w:rsidRPr="009014B7">
        <w:rPr>
          <w:rFonts w:hAnsi="ＭＳ 明朝" w:hint="eastAsia"/>
          <w:szCs w:val="24"/>
        </w:rPr>
        <w:t>高岡駅周辺地区整備事業</w:t>
      </w:r>
      <w:r w:rsidR="00727955" w:rsidRPr="009014B7">
        <w:rPr>
          <w:rFonts w:hAnsi="ＭＳ 明朝" w:hint="eastAsia"/>
          <w:szCs w:val="24"/>
        </w:rPr>
        <w:t>債</w:t>
      </w:r>
      <w:r w:rsidR="0007065B" w:rsidRPr="009014B7">
        <w:rPr>
          <w:rFonts w:hAnsi="ＭＳ 明朝" w:hint="eastAsia"/>
          <w:szCs w:val="24"/>
        </w:rPr>
        <w:t>、</w:t>
      </w:r>
      <w:r w:rsidR="003309ED" w:rsidRPr="0028289D">
        <w:rPr>
          <w:rFonts w:hAnsi="ＭＳ 明朝" w:hint="eastAsia"/>
          <w:szCs w:val="24"/>
        </w:rPr>
        <w:t>高岡西部総合公園整備事業債など</w:t>
      </w:r>
      <w:r w:rsidR="0007065B" w:rsidRPr="0028289D">
        <w:rPr>
          <w:rFonts w:hAnsi="ＭＳ 明朝" w:hint="eastAsia"/>
          <w:szCs w:val="24"/>
        </w:rPr>
        <w:t>と</w:t>
      </w:r>
      <w:r w:rsidR="00427CAB">
        <w:rPr>
          <w:rFonts w:hAnsi="ＭＳ 明朝" w:hint="eastAsia"/>
          <w:szCs w:val="24"/>
        </w:rPr>
        <w:t>なっている</w:t>
      </w:r>
      <w:r w:rsidR="00427CAB" w:rsidRPr="0028289D">
        <w:rPr>
          <w:rFonts w:hAnsi="ＭＳ 明朝" w:hint="eastAsia"/>
          <w:szCs w:val="24"/>
        </w:rPr>
        <w:t>。</w:t>
      </w:r>
    </w:p>
    <w:p w:rsidR="00940888" w:rsidRPr="005308EF" w:rsidRDefault="00D3426B" w:rsidP="001B1618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5308EF">
        <w:rPr>
          <w:rFonts w:hAnsi="ＭＳ 明朝" w:hint="eastAsia"/>
          <w:szCs w:val="24"/>
        </w:rPr>
        <w:t>分担金及び負担金</w:t>
      </w:r>
      <w:r w:rsidR="00481B54" w:rsidRPr="005308EF">
        <w:rPr>
          <w:rFonts w:hAnsi="ＭＳ 明朝" w:hint="eastAsia"/>
          <w:szCs w:val="24"/>
        </w:rPr>
        <w:t>の収入済額は</w:t>
      </w:r>
      <w:r w:rsidR="00481B54">
        <w:rPr>
          <w:rFonts w:hAnsi="ＭＳ 明朝" w:hint="eastAsia"/>
          <w:szCs w:val="24"/>
        </w:rPr>
        <w:t>1,638,041千円で、</w:t>
      </w:r>
      <w:r w:rsidR="00481B54" w:rsidRPr="005308EF">
        <w:rPr>
          <w:rFonts w:hAnsi="ＭＳ 明朝" w:hint="eastAsia"/>
          <w:szCs w:val="24"/>
        </w:rPr>
        <w:t>分担金</w:t>
      </w:r>
      <w:r w:rsidR="0007065B">
        <w:rPr>
          <w:rFonts w:hAnsi="ＭＳ 明朝" w:hint="eastAsia"/>
          <w:szCs w:val="24"/>
        </w:rPr>
        <w:t>の主なものは市単独</w:t>
      </w:r>
      <w:r w:rsidR="00481B54">
        <w:rPr>
          <w:rFonts w:hAnsi="ＭＳ 明朝" w:hint="eastAsia"/>
          <w:szCs w:val="24"/>
        </w:rPr>
        <w:t>農業</w:t>
      </w:r>
      <w:r w:rsidR="00481B54" w:rsidRPr="001B1618">
        <w:rPr>
          <w:rFonts w:hAnsi="ＭＳ 明朝" w:hint="eastAsia"/>
          <w:szCs w:val="24"/>
        </w:rPr>
        <w:t>土木事業に係る</w:t>
      </w:r>
      <w:r w:rsidR="001B1618" w:rsidRPr="001B1618">
        <w:rPr>
          <w:rFonts w:hAnsi="ＭＳ 明朝" w:hint="eastAsia"/>
          <w:szCs w:val="24"/>
        </w:rPr>
        <w:t>ものであり、</w:t>
      </w:r>
      <w:r w:rsidR="00481B54" w:rsidRPr="001B1618">
        <w:rPr>
          <w:rFonts w:hAnsi="ＭＳ 明朝" w:hint="eastAsia"/>
          <w:szCs w:val="24"/>
        </w:rPr>
        <w:t>負担金の主</w:t>
      </w:r>
      <w:r w:rsidR="00427CAB" w:rsidRPr="001B1618">
        <w:rPr>
          <w:rFonts w:hAnsi="ＭＳ 明朝" w:hint="eastAsia"/>
          <w:szCs w:val="24"/>
        </w:rPr>
        <w:t>なものは保育所(公立・私立)</w:t>
      </w:r>
      <w:r w:rsidR="00481B54" w:rsidRPr="001B1618">
        <w:rPr>
          <w:rFonts w:hAnsi="ＭＳ 明朝" w:hint="eastAsia"/>
          <w:szCs w:val="24"/>
        </w:rPr>
        <w:t>運営負担金</w:t>
      </w:r>
      <w:r w:rsidR="001B1618" w:rsidRPr="001B1618">
        <w:rPr>
          <w:rFonts w:hAnsi="ＭＳ 明朝" w:hint="eastAsia"/>
          <w:szCs w:val="24"/>
        </w:rPr>
        <w:t>、</w:t>
      </w:r>
      <w:r w:rsidR="00481B54">
        <w:rPr>
          <w:rFonts w:hAnsi="ＭＳ 明朝" w:hint="eastAsia"/>
          <w:szCs w:val="24"/>
        </w:rPr>
        <w:t>消防指令事務共同運用整備事業費負担金などとなっている。</w:t>
      </w:r>
    </w:p>
    <w:p w:rsidR="00C60D8D" w:rsidRDefault="00940888" w:rsidP="00C60D8D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2F5AED">
        <w:rPr>
          <w:rFonts w:hAnsi="ＭＳ 明朝" w:hint="eastAsia"/>
          <w:szCs w:val="24"/>
        </w:rPr>
        <w:t>収入未済額は</w:t>
      </w:r>
      <w:r w:rsidR="00B203B0">
        <w:rPr>
          <w:rFonts w:hAnsi="ＭＳ 明朝" w:hint="eastAsia"/>
          <w:szCs w:val="24"/>
        </w:rPr>
        <w:t>17,275,583</w:t>
      </w:r>
      <w:r w:rsidRPr="002F5AED">
        <w:rPr>
          <w:rFonts w:hAnsi="ＭＳ 明朝" w:hint="eastAsia"/>
          <w:szCs w:val="24"/>
        </w:rPr>
        <w:t>千円で、主なものは</w:t>
      </w:r>
      <w:r w:rsidR="00F82EE0" w:rsidRPr="002F5AED">
        <w:rPr>
          <w:rFonts w:hAnsi="ＭＳ 明朝" w:hint="eastAsia"/>
          <w:szCs w:val="24"/>
        </w:rPr>
        <w:t>市債8,830,000千円、国庫支出金6,009,215千円、</w:t>
      </w:r>
      <w:r w:rsidRPr="002F5AED">
        <w:rPr>
          <w:rFonts w:hAnsi="ＭＳ 明朝" w:hint="eastAsia"/>
          <w:szCs w:val="24"/>
        </w:rPr>
        <w:t>市税</w:t>
      </w:r>
      <w:r w:rsidR="00F82EE0" w:rsidRPr="002F5AED">
        <w:rPr>
          <w:rFonts w:hAnsi="ＭＳ 明朝" w:hint="eastAsia"/>
          <w:szCs w:val="24"/>
        </w:rPr>
        <w:t>1,444</w:t>
      </w:r>
      <w:r w:rsidRPr="002F5AED">
        <w:rPr>
          <w:rFonts w:hAnsi="ＭＳ 明朝" w:hint="eastAsia"/>
          <w:szCs w:val="24"/>
        </w:rPr>
        <w:t>,</w:t>
      </w:r>
      <w:r w:rsidR="00F82EE0" w:rsidRPr="002F5AED">
        <w:rPr>
          <w:rFonts w:hAnsi="ＭＳ 明朝" w:hint="eastAsia"/>
          <w:szCs w:val="24"/>
        </w:rPr>
        <w:t>505</w:t>
      </w:r>
      <w:r w:rsidRPr="002F5AED">
        <w:rPr>
          <w:rFonts w:hAnsi="ＭＳ 明朝" w:hint="eastAsia"/>
          <w:szCs w:val="24"/>
        </w:rPr>
        <w:t>千円であ</w:t>
      </w:r>
      <w:r w:rsidR="00F82EE0" w:rsidRPr="002F5AED">
        <w:rPr>
          <w:rFonts w:hAnsi="ＭＳ 明朝" w:hint="eastAsia"/>
          <w:szCs w:val="24"/>
        </w:rPr>
        <w:t>り、</w:t>
      </w:r>
      <w:r w:rsidRPr="002F5AED">
        <w:rPr>
          <w:rFonts w:hAnsi="ＭＳ 明朝" w:hint="eastAsia"/>
          <w:szCs w:val="24"/>
        </w:rPr>
        <w:t>前年度に比べ</w:t>
      </w:r>
      <w:r w:rsidR="00B203B0">
        <w:rPr>
          <w:rFonts w:hAnsi="ＭＳ 明朝" w:hint="eastAsia"/>
          <w:szCs w:val="24"/>
        </w:rPr>
        <w:t>843,397</w:t>
      </w:r>
      <w:r w:rsidR="00427CAB">
        <w:rPr>
          <w:rFonts w:hAnsi="ＭＳ 明朝" w:hint="eastAsia"/>
          <w:szCs w:val="24"/>
        </w:rPr>
        <w:t>千円(</w:t>
      </w:r>
      <w:r w:rsidR="00F93519" w:rsidRPr="002F5AED">
        <w:rPr>
          <w:rFonts w:hAnsi="ＭＳ 明朝" w:hint="eastAsia"/>
          <w:szCs w:val="24"/>
        </w:rPr>
        <w:t>△4.7</w:t>
      </w:r>
      <w:r w:rsidR="00427CAB">
        <w:rPr>
          <w:rFonts w:hAnsi="ＭＳ 明朝" w:hint="eastAsia"/>
          <w:szCs w:val="24"/>
        </w:rPr>
        <w:t>％)</w:t>
      </w:r>
    </w:p>
    <w:p w:rsidR="00940888" w:rsidRPr="002F5AED" w:rsidRDefault="00F93519" w:rsidP="00C60D8D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2F5AED">
        <w:rPr>
          <w:rFonts w:hAnsi="ＭＳ 明朝" w:hint="eastAsia"/>
          <w:szCs w:val="24"/>
        </w:rPr>
        <w:t>減少</w:t>
      </w:r>
      <w:r w:rsidR="00940888" w:rsidRPr="002F5AED">
        <w:rPr>
          <w:rFonts w:hAnsi="ＭＳ 明朝" w:hint="eastAsia"/>
          <w:szCs w:val="24"/>
        </w:rPr>
        <w:t>している。</w:t>
      </w:r>
    </w:p>
    <w:p w:rsidR="00491D15" w:rsidRDefault="00940888" w:rsidP="00491D15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2F5AED">
        <w:rPr>
          <w:rFonts w:hAnsi="ＭＳ 明朝" w:hint="eastAsia"/>
          <w:szCs w:val="24"/>
        </w:rPr>
        <w:t>不納欠損額は</w:t>
      </w:r>
      <w:r w:rsidR="00F93519" w:rsidRPr="002F5AED">
        <w:rPr>
          <w:rFonts w:hAnsi="ＭＳ 明朝" w:hint="eastAsia"/>
          <w:szCs w:val="24"/>
        </w:rPr>
        <w:t xml:space="preserve"> 242,331</w:t>
      </w:r>
      <w:r w:rsidRPr="002F5AED">
        <w:rPr>
          <w:rFonts w:hAnsi="ＭＳ 明朝" w:hint="eastAsia"/>
          <w:szCs w:val="24"/>
        </w:rPr>
        <w:t>千円で、前年度に比べ</w:t>
      </w:r>
      <w:r w:rsidR="00F93519" w:rsidRPr="002F5AED">
        <w:rPr>
          <w:rFonts w:hAnsi="ＭＳ 明朝" w:hint="eastAsia"/>
          <w:szCs w:val="24"/>
        </w:rPr>
        <w:t>42,412</w:t>
      </w:r>
      <w:r w:rsidRPr="002F5AED">
        <w:rPr>
          <w:rFonts w:hAnsi="ＭＳ 明朝" w:hint="eastAsia"/>
          <w:szCs w:val="24"/>
        </w:rPr>
        <w:t>千円</w:t>
      </w:r>
      <w:r w:rsidR="00427CAB">
        <w:rPr>
          <w:rFonts w:hAnsi="ＭＳ 明朝" w:hint="eastAsia"/>
          <w:szCs w:val="24"/>
        </w:rPr>
        <w:t>(</w:t>
      </w:r>
      <w:r w:rsidRPr="002F5AED">
        <w:rPr>
          <w:rFonts w:hAnsi="ＭＳ 明朝" w:hint="eastAsia"/>
          <w:szCs w:val="24"/>
        </w:rPr>
        <w:t>△</w:t>
      </w:r>
      <w:r w:rsidR="002F5AED" w:rsidRPr="002F5AED">
        <w:rPr>
          <w:rFonts w:hAnsi="ＭＳ 明朝" w:hint="eastAsia"/>
          <w:szCs w:val="24"/>
        </w:rPr>
        <w:t>14.9</w:t>
      </w:r>
      <w:r w:rsidRPr="002F5AED">
        <w:rPr>
          <w:rFonts w:hAnsi="ＭＳ 明朝" w:hint="eastAsia"/>
          <w:szCs w:val="24"/>
        </w:rPr>
        <w:t>％</w:t>
      </w:r>
      <w:r w:rsidR="00427CAB">
        <w:rPr>
          <w:rFonts w:hAnsi="ＭＳ 明朝" w:hint="eastAsia"/>
          <w:szCs w:val="24"/>
        </w:rPr>
        <w:t>)</w:t>
      </w:r>
      <w:r w:rsidRPr="002F5AED">
        <w:rPr>
          <w:rFonts w:hAnsi="ＭＳ 明朝" w:hint="eastAsia"/>
          <w:szCs w:val="24"/>
        </w:rPr>
        <w:t>減少して</w:t>
      </w:r>
    </w:p>
    <w:p w:rsidR="00940888" w:rsidRPr="002F5AED" w:rsidRDefault="00940888" w:rsidP="00491D15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2F5AED">
        <w:rPr>
          <w:rFonts w:hAnsi="ＭＳ 明朝" w:hint="eastAsia"/>
          <w:szCs w:val="24"/>
        </w:rPr>
        <w:t>いる。</w:t>
      </w:r>
    </w:p>
    <w:p w:rsidR="003E7FE5" w:rsidRPr="003F4263" w:rsidRDefault="003E7FE5" w:rsidP="00940888">
      <w:pPr>
        <w:spacing w:line="240" w:lineRule="auto"/>
        <w:rPr>
          <w:rFonts w:hAnsi="ＭＳ 明朝"/>
          <w:color w:val="FF0000"/>
          <w:szCs w:val="24"/>
        </w:rPr>
      </w:pPr>
    </w:p>
    <w:p w:rsidR="003E7FE5" w:rsidRPr="003F4263" w:rsidRDefault="003E7FE5" w:rsidP="00940888">
      <w:pPr>
        <w:spacing w:line="240" w:lineRule="auto"/>
        <w:rPr>
          <w:rFonts w:hAnsi="ＭＳ 明朝"/>
          <w:color w:val="FF0000"/>
          <w:szCs w:val="24"/>
        </w:rPr>
      </w:pPr>
    </w:p>
    <w:p w:rsidR="003E7FE5" w:rsidRPr="00940888" w:rsidRDefault="0047129B" w:rsidP="00940888">
      <w:pPr>
        <w:spacing w:line="240" w:lineRule="auto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　</w:t>
      </w:r>
    </w:p>
    <w:p w:rsidR="003E7FE5" w:rsidRPr="00940888" w:rsidRDefault="003E7FE5" w:rsidP="00940888">
      <w:pPr>
        <w:spacing w:line="240" w:lineRule="auto"/>
        <w:rPr>
          <w:rFonts w:hAnsi="ＭＳ 明朝"/>
          <w:szCs w:val="24"/>
        </w:rPr>
      </w:pPr>
    </w:p>
    <w:p w:rsidR="003E7FE5" w:rsidRDefault="003E7FE5" w:rsidP="00940888">
      <w:pPr>
        <w:spacing w:line="240" w:lineRule="auto"/>
        <w:rPr>
          <w:rFonts w:hAnsi="ＭＳ 明朝"/>
          <w:szCs w:val="24"/>
        </w:rPr>
      </w:pPr>
    </w:p>
    <w:p w:rsidR="006002D3" w:rsidRDefault="006002D3" w:rsidP="00940888">
      <w:pPr>
        <w:spacing w:line="240" w:lineRule="auto"/>
        <w:rPr>
          <w:rFonts w:hAnsi="ＭＳ 明朝"/>
          <w:szCs w:val="24"/>
        </w:rPr>
      </w:pPr>
    </w:p>
    <w:p w:rsidR="006002D3" w:rsidRDefault="006002D3" w:rsidP="00940888">
      <w:pPr>
        <w:spacing w:line="240" w:lineRule="auto"/>
        <w:rPr>
          <w:rFonts w:hAnsi="ＭＳ 明朝"/>
          <w:szCs w:val="24"/>
        </w:rPr>
      </w:pPr>
    </w:p>
    <w:p w:rsidR="006002D3" w:rsidRDefault="006002D3" w:rsidP="00940888">
      <w:pPr>
        <w:spacing w:line="240" w:lineRule="auto"/>
        <w:rPr>
          <w:rFonts w:hAnsi="ＭＳ 明朝"/>
          <w:szCs w:val="24"/>
        </w:rPr>
      </w:pPr>
    </w:p>
    <w:p w:rsidR="003E7FE5" w:rsidRDefault="003E7FE5" w:rsidP="00940888">
      <w:pPr>
        <w:spacing w:line="240" w:lineRule="auto"/>
        <w:rPr>
          <w:rFonts w:hAnsi="ＭＳ 明朝"/>
          <w:szCs w:val="24"/>
        </w:rPr>
      </w:pPr>
    </w:p>
    <w:p w:rsidR="00C0188E" w:rsidRDefault="00C0188E" w:rsidP="00940888">
      <w:pPr>
        <w:spacing w:line="240" w:lineRule="auto"/>
        <w:rPr>
          <w:rFonts w:hAnsi="ＭＳ 明朝"/>
          <w:szCs w:val="24"/>
        </w:rPr>
      </w:pPr>
    </w:p>
    <w:p w:rsidR="00C0188E" w:rsidRDefault="00C0188E" w:rsidP="00940888">
      <w:pPr>
        <w:spacing w:line="240" w:lineRule="auto"/>
        <w:rPr>
          <w:rFonts w:hAnsi="ＭＳ 明朝"/>
          <w:szCs w:val="24"/>
        </w:rPr>
      </w:pPr>
    </w:p>
    <w:p w:rsidR="00F13BD3" w:rsidRDefault="00F13BD3" w:rsidP="00940888">
      <w:pPr>
        <w:spacing w:line="240" w:lineRule="auto"/>
        <w:rPr>
          <w:rFonts w:hAnsi="ＭＳ 明朝"/>
          <w:szCs w:val="24"/>
        </w:rPr>
      </w:pPr>
    </w:p>
    <w:p w:rsidR="00F13BD3" w:rsidRDefault="00F13BD3" w:rsidP="00940888">
      <w:pPr>
        <w:spacing w:line="240" w:lineRule="auto"/>
        <w:rPr>
          <w:rFonts w:hAnsi="ＭＳ 明朝"/>
          <w:szCs w:val="24"/>
        </w:rPr>
      </w:pPr>
    </w:p>
    <w:p w:rsidR="001B1618" w:rsidRDefault="001B1618" w:rsidP="00940888">
      <w:pPr>
        <w:spacing w:line="240" w:lineRule="auto"/>
        <w:rPr>
          <w:rFonts w:hAnsi="ＭＳ 明朝"/>
          <w:szCs w:val="24"/>
        </w:rPr>
      </w:pPr>
    </w:p>
    <w:p w:rsidR="00F13BD3" w:rsidRPr="00940888" w:rsidRDefault="00F13BD3" w:rsidP="00940888">
      <w:pPr>
        <w:spacing w:line="240" w:lineRule="auto"/>
        <w:rPr>
          <w:rFonts w:hAnsi="ＭＳ 明朝"/>
          <w:szCs w:val="24"/>
        </w:rPr>
      </w:pPr>
    </w:p>
    <w:p w:rsidR="003E7FE5" w:rsidRPr="00940888" w:rsidRDefault="003E7FE5" w:rsidP="00940888">
      <w:pPr>
        <w:spacing w:line="240" w:lineRule="auto"/>
        <w:rPr>
          <w:rFonts w:hAnsi="ＭＳ 明朝"/>
          <w:szCs w:val="24"/>
        </w:rPr>
      </w:pPr>
    </w:p>
    <w:p w:rsidR="0062344B" w:rsidRDefault="0062344B" w:rsidP="0062344B">
      <w:pPr>
        <w:spacing w:line="240" w:lineRule="auto"/>
        <w:ind w:right="960"/>
        <w:rPr>
          <w:rFonts w:hAnsi="ＭＳ 明朝"/>
          <w:szCs w:val="24"/>
        </w:rPr>
      </w:pPr>
    </w:p>
    <w:p w:rsidR="00F82EE0" w:rsidRDefault="00F82EE0" w:rsidP="0062344B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</w:p>
    <w:p w:rsidR="0062344B" w:rsidRDefault="00B60D86" w:rsidP="0062344B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  <w:r w:rsidRPr="00B60D86">
        <w:rPr>
          <w:rFonts w:ascii="ＭＳ ゴシック" w:eastAsia="ＭＳ ゴシック" w:hAnsi="ＭＳ ゴシック" w:hint="eastAsia"/>
          <w:szCs w:val="24"/>
        </w:rPr>
        <w:lastRenderedPageBreak/>
        <w:t>一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B60D86">
        <w:rPr>
          <w:rFonts w:ascii="ＭＳ ゴシック" w:eastAsia="ＭＳ ゴシック" w:hAnsi="ＭＳ ゴシック" w:hint="eastAsia"/>
          <w:szCs w:val="24"/>
        </w:rPr>
        <w:t>般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B60D86">
        <w:rPr>
          <w:rFonts w:ascii="ＭＳ ゴシック" w:eastAsia="ＭＳ ゴシック" w:hAnsi="ＭＳ ゴシック" w:hint="eastAsia"/>
          <w:szCs w:val="24"/>
        </w:rPr>
        <w:t>会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B60D86">
        <w:rPr>
          <w:rFonts w:ascii="ＭＳ ゴシック" w:eastAsia="ＭＳ ゴシック" w:hAnsi="ＭＳ ゴシック" w:hint="eastAsia"/>
          <w:szCs w:val="24"/>
        </w:rPr>
        <w:t>計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="0062344B">
        <w:rPr>
          <w:rFonts w:ascii="ＭＳ ゴシック" w:eastAsia="ＭＳ ゴシック" w:hAnsi="ＭＳ ゴシック" w:hint="eastAsia"/>
          <w:szCs w:val="24"/>
        </w:rPr>
        <w:t>歳　入</w:t>
      </w:r>
    </w:p>
    <w:p w:rsidR="0062344B" w:rsidRPr="00B60D86" w:rsidRDefault="0062344B" w:rsidP="0062344B">
      <w:pPr>
        <w:spacing w:line="240" w:lineRule="auto"/>
        <w:ind w:right="480"/>
        <w:jc w:val="left"/>
        <w:rPr>
          <w:rFonts w:ascii="ＭＳ ゴシック" w:eastAsia="ＭＳ ゴシック" w:hAnsi="ＭＳ ゴシック"/>
          <w:szCs w:val="24"/>
        </w:rPr>
      </w:pPr>
    </w:p>
    <w:bookmarkStart w:id="1" w:name="_MON_1438688165"/>
    <w:bookmarkEnd w:id="1"/>
    <w:p w:rsidR="003E7FE5" w:rsidRPr="00940888" w:rsidRDefault="00E0211D" w:rsidP="0094088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9926" w:dyaOrig="12519">
          <v:shape id="_x0000_i1026" type="#_x0000_t75" style="width:477pt;height:653.25pt" o:ole="">
            <v:imagedata r:id="rId10" o:title=""/>
          </v:shape>
          <o:OLEObject Type="Embed" ProgID="Excel.Sheet.12" ShapeID="_x0000_i1026" DrawAspect="Content" ObjectID="_1470661843" r:id="rId11"/>
        </w:object>
      </w:r>
    </w:p>
    <w:p w:rsidR="003E7FE5" w:rsidRPr="003E1B30" w:rsidRDefault="003E1B30" w:rsidP="00DD0C22">
      <w:pPr>
        <w:spacing w:line="240" w:lineRule="auto"/>
        <w:rPr>
          <w:rFonts w:hAnsi="ＭＳ 明朝"/>
          <w:sz w:val="18"/>
          <w:szCs w:val="18"/>
        </w:rPr>
      </w:pPr>
      <w:r w:rsidRPr="003E1B30">
        <w:rPr>
          <w:rFonts w:hAnsi="ＭＳ 明朝" w:hint="eastAsia"/>
          <w:sz w:val="18"/>
          <w:szCs w:val="18"/>
        </w:rPr>
        <w:t xml:space="preserve">　(注) 「収入済額」欄の( )内の金額は、「収入済額」に含まれる還付未了額である。</w:t>
      </w:r>
    </w:p>
    <w:p w:rsidR="003E7FE5" w:rsidRPr="0062344B" w:rsidRDefault="0062344B" w:rsidP="00DD0C22">
      <w:pPr>
        <w:spacing w:line="240" w:lineRule="auto"/>
        <w:rPr>
          <w:rFonts w:ascii="ＭＳ ゴシック" w:eastAsia="ＭＳ ゴシック" w:hAnsi="ＭＳ ゴシック"/>
          <w:szCs w:val="24"/>
        </w:rPr>
      </w:pPr>
      <w:r w:rsidRPr="0062344B">
        <w:rPr>
          <w:rFonts w:ascii="ＭＳ ゴシック" w:eastAsia="ＭＳ ゴシック" w:hAnsi="ＭＳ ゴシック" w:hint="eastAsia"/>
          <w:szCs w:val="24"/>
        </w:rPr>
        <w:lastRenderedPageBreak/>
        <w:t>款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別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決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算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状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況</w:t>
      </w:r>
    </w:p>
    <w:p w:rsidR="00255786" w:rsidRPr="00CE5B6B" w:rsidRDefault="0062344B" w:rsidP="00CE5B6B">
      <w:pPr>
        <w:spacing w:line="240" w:lineRule="auto"/>
        <w:ind w:right="-1" w:firstLineChars="3400" w:firstLine="7480"/>
        <w:rPr>
          <w:rFonts w:hAnsi="ＭＳ 明朝"/>
          <w:sz w:val="22"/>
          <w:szCs w:val="22"/>
        </w:rPr>
      </w:pPr>
      <w:r w:rsidRPr="00CE5B6B">
        <w:rPr>
          <w:rFonts w:hAnsi="ＭＳ 明朝" w:hint="eastAsia"/>
          <w:sz w:val="22"/>
          <w:szCs w:val="22"/>
        </w:rPr>
        <w:t>（単位：千円・％）</w:t>
      </w:r>
    </w:p>
    <w:bookmarkStart w:id="2" w:name="_MON_1438691926"/>
    <w:bookmarkEnd w:id="2"/>
    <w:p w:rsidR="001C753B" w:rsidRPr="00AE1072" w:rsidRDefault="00E0211D" w:rsidP="00DD0C22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10811" w:dyaOrig="12519">
          <v:shape id="_x0000_i1027" type="#_x0000_t75" style="width:479.25pt;height:657.75pt" o:ole="">
            <v:imagedata r:id="rId12" o:title=""/>
          </v:shape>
          <o:OLEObject Type="Embed" ProgID="Excel.Sheet.12" ShapeID="_x0000_i1027" DrawAspect="Content" ObjectID="_1470661844" r:id="rId13"/>
        </w:object>
      </w:r>
    </w:p>
    <w:p w:rsidR="00E0211D" w:rsidRDefault="00E0211D" w:rsidP="00986458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</w:p>
    <w:p w:rsidR="00986458" w:rsidRPr="00986458" w:rsidRDefault="00986458" w:rsidP="00986458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986458">
        <w:rPr>
          <w:rFonts w:ascii="ＭＳ ゴシック" w:eastAsia="ＭＳ ゴシック" w:hAnsi="ＭＳ ゴシック" w:hint="eastAsia"/>
          <w:szCs w:val="24"/>
        </w:rPr>
        <w:lastRenderedPageBreak/>
        <w:t>⑵  市税の状況</w:t>
      </w:r>
    </w:p>
    <w:p w:rsidR="004E3054" w:rsidRDefault="00986458" w:rsidP="004E3054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32119B">
        <w:rPr>
          <w:rFonts w:hAnsi="ＭＳ 明朝" w:hint="eastAsia"/>
          <w:szCs w:val="24"/>
        </w:rPr>
        <w:t>収入済額は 25,</w:t>
      </w:r>
      <w:r w:rsidR="00192B26" w:rsidRPr="0032119B">
        <w:rPr>
          <w:rFonts w:hAnsi="ＭＳ 明朝" w:hint="eastAsia"/>
          <w:szCs w:val="24"/>
        </w:rPr>
        <w:t>281</w:t>
      </w:r>
      <w:r w:rsidRPr="0032119B">
        <w:rPr>
          <w:rFonts w:hAnsi="ＭＳ 明朝" w:hint="eastAsia"/>
          <w:szCs w:val="24"/>
        </w:rPr>
        <w:t>,</w:t>
      </w:r>
      <w:r w:rsidR="00192B26" w:rsidRPr="0032119B">
        <w:rPr>
          <w:rFonts w:hAnsi="ＭＳ 明朝" w:hint="eastAsia"/>
          <w:szCs w:val="24"/>
        </w:rPr>
        <w:t>733</w:t>
      </w:r>
      <w:r w:rsidRPr="0032119B">
        <w:rPr>
          <w:rFonts w:hAnsi="ＭＳ 明朝" w:hint="eastAsia"/>
          <w:szCs w:val="24"/>
        </w:rPr>
        <w:t>千円で、前年度に比べ</w:t>
      </w:r>
      <w:r w:rsidR="00192B26" w:rsidRPr="0032119B">
        <w:rPr>
          <w:rFonts w:hAnsi="ＭＳ 明朝" w:hint="eastAsia"/>
          <w:szCs w:val="24"/>
        </w:rPr>
        <w:t xml:space="preserve"> 92,459</w:t>
      </w:r>
      <w:r w:rsidRPr="0032119B">
        <w:rPr>
          <w:rFonts w:hAnsi="ＭＳ 明朝" w:hint="eastAsia"/>
          <w:szCs w:val="24"/>
        </w:rPr>
        <w:t>千円(</w:t>
      </w:r>
      <w:r w:rsidR="00192B26" w:rsidRPr="0032119B">
        <w:rPr>
          <w:rFonts w:hAnsi="ＭＳ 明朝" w:hint="eastAsia"/>
          <w:szCs w:val="24"/>
        </w:rPr>
        <w:t>0.4</w:t>
      </w:r>
      <w:r w:rsidRPr="0032119B">
        <w:rPr>
          <w:rFonts w:hAnsi="ＭＳ 明朝" w:hint="eastAsia"/>
          <w:szCs w:val="24"/>
        </w:rPr>
        <w:t>％)</w:t>
      </w:r>
      <w:r w:rsidR="00192B26" w:rsidRPr="0032119B">
        <w:rPr>
          <w:rFonts w:hAnsi="ＭＳ 明朝" w:hint="eastAsia"/>
          <w:szCs w:val="24"/>
        </w:rPr>
        <w:t>増加</w:t>
      </w:r>
      <w:r w:rsidRPr="0032119B">
        <w:rPr>
          <w:rFonts w:hAnsi="ＭＳ 明朝" w:hint="eastAsia"/>
          <w:szCs w:val="24"/>
        </w:rPr>
        <w:t>、対予算</w:t>
      </w:r>
    </w:p>
    <w:p w:rsidR="00986458" w:rsidRPr="0032119B" w:rsidRDefault="00986458" w:rsidP="004E3054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32119B">
        <w:rPr>
          <w:rFonts w:hAnsi="ＭＳ 明朝" w:hint="eastAsia"/>
          <w:szCs w:val="24"/>
        </w:rPr>
        <w:t>収入率は</w:t>
      </w:r>
      <w:r w:rsidR="00192B26" w:rsidRPr="0032119B">
        <w:rPr>
          <w:rFonts w:hAnsi="ＭＳ 明朝" w:hint="eastAsia"/>
          <w:szCs w:val="24"/>
        </w:rPr>
        <w:t>0.5</w:t>
      </w:r>
      <w:r w:rsidRPr="0032119B">
        <w:rPr>
          <w:rFonts w:hAnsi="ＭＳ 明朝" w:hint="eastAsia"/>
          <w:szCs w:val="24"/>
        </w:rPr>
        <w:t>ポイント</w:t>
      </w:r>
      <w:r w:rsidR="0032119B" w:rsidRPr="0032119B">
        <w:rPr>
          <w:rFonts w:hAnsi="ＭＳ 明朝" w:hint="eastAsia"/>
          <w:szCs w:val="24"/>
        </w:rPr>
        <w:t>、</w:t>
      </w:r>
      <w:r w:rsidRPr="0032119B">
        <w:rPr>
          <w:rFonts w:hAnsi="ＭＳ 明朝" w:hint="eastAsia"/>
          <w:szCs w:val="24"/>
        </w:rPr>
        <w:t>対調定収納率は</w:t>
      </w:r>
      <w:r w:rsidR="0032119B" w:rsidRPr="0032119B">
        <w:rPr>
          <w:rFonts w:hAnsi="ＭＳ 明朝" w:hint="eastAsia"/>
          <w:szCs w:val="24"/>
        </w:rPr>
        <w:t>0.8</w:t>
      </w:r>
      <w:r w:rsidRPr="0032119B">
        <w:rPr>
          <w:rFonts w:hAnsi="ＭＳ 明朝" w:hint="eastAsia"/>
          <w:szCs w:val="24"/>
        </w:rPr>
        <w:t>ポイント</w:t>
      </w:r>
      <w:r w:rsidR="0032119B" w:rsidRPr="0032119B">
        <w:rPr>
          <w:rFonts w:hAnsi="ＭＳ 明朝" w:hint="eastAsia"/>
          <w:szCs w:val="24"/>
        </w:rPr>
        <w:t>とそれぞれ</w:t>
      </w:r>
      <w:r w:rsidRPr="0032119B">
        <w:rPr>
          <w:rFonts w:hAnsi="ＭＳ 明朝" w:hint="eastAsia"/>
          <w:szCs w:val="24"/>
        </w:rPr>
        <w:t>上昇している。</w:t>
      </w:r>
    </w:p>
    <w:p w:rsidR="004E3054" w:rsidRDefault="00986458" w:rsidP="004E3054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6E36A0">
        <w:rPr>
          <w:rFonts w:hAnsi="ＭＳ 明朝" w:hint="eastAsia"/>
          <w:szCs w:val="24"/>
        </w:rPr>
        <w:t>収入済額の主なものは、市民税</w:t>
      </w:r>
      <w:r w:rsidR="0032119B" w:rsidRPr="006E36A0">
        <w:rPr>
          <w:rFonts w:hAnsi="ＭＳ 明朝" w:hint="eastAsia"/>
          <w:szCs w:val="24"/>
        </w:rPr>
        <w:t>10,442,912</w:t>
      </w:r>
      <w:r w:rsidRPr="006E36A0">
        <w:rPr>
          <w:rFonts w:hAnsi="ＭＳ 明朝" w:hint="eastAsia"/>
          <w:szCs w:val="24"/>
        </w:rPr>
        <w:t>千円、固定資産税1</w:t>
      </w:r>
      <w:r w:rsidR="0032119B" w:rsidRPr="006E36A0">
        <w:rPr>
          <w:rFonts w:hAnsi="ＭＳ 明朝" w:hint="eastAsia"/>
          <w:szCs w:val="24"/>
        </w:rPr>
        <w:t>3,063,884</w:t>
      </w:r>
      <w:r w:rsidRPr="006E36A0">
        <w:rPr>
          <w:rFonts w:hAnsi="ＭＳ 明朝" w:hint="eastAsia"/>
          <w:szCs w:val="24"/>
        </w:rPr>
        <w:t>千円</w:t>
      </w:r>
    </w:p>
    <w:p w:rsidR="00986458" w:rsidRPr="006E36A0" w:rsidRDefault="00986458" w:rsidP="004E3054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6E36A0">
        <w:rPr>
          <w:rFonts w:hAnsi="ＭＳ 明朝" w:hint="eastAsia"/>
          <w:szCs w:val="24"/>
        </w:rPr>
        <w:t>である。</w:t>
      </w:r>
    </w:p>
    <w:p w:rsidR="00986458" w:rsidRPr="00050BFC" w:rsidRDefault="00986458" w:rsidP="00986458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color w:val="FF0000"/>
          <w:szCs w:val="24"/>
        </w:rPr>
      </w:pPr>
      <w:r w:rsidRPr="006E36A0">
        <w:rPr>
          <w:rFonts w:hAnsi="ＭＳ 明朝" w:hint="eastAsia"/>
          <w:szCs w:val="24"/>
        </w:rPr>
        <w:t>市民税のうち、個人市民税は、</w:t>
      </w:r>
      <w:r w:rsidR="0032119B" w:rsidRPr="006E36A0">
        <w:rPr>
          <w:rFonts w:hAnsi="ＭＳ 明朝" w:hint="eastAsia"/>
          <w:szCs w:val="24"/>
        </w:rPr>
        <w:t>8,430,3</w:t>
      </w:r>
      <w:r w:rsidRPr="006E36A0">
        <w:rPr>
          <w:rFonts w:hAnsi="ＭＳ 明朝" w:hint="eastAsia"/>
          <w:szCs w:val="24"/>
        </w:rPr>
        <w:t>42千円で前年度に比べ</w:t>
      </w:r>
      <w:r w:rsidR="0032119B" w:rsidRPr="006E36A0">
        <w:rPr>
          <w:rFonts w:hAnsi="ＭＳ 明朝" w:hint="eastAsia"/>
          <w:szCs w:val="24"/>
        </w:rPr>
        <w:t>29,900</w:t>
      </w:r>
      <w:r w:rsidRPr="006E36A0">
        <w:rPr>
          <w:rFonts w:hAnsi="ＭＳ 明朝" w:hint="eastAsia"/>
          <w:szCs w:val="24"/>
        </w:rPr>
        <w:t>千円</w:t>
      </w:r>
      <w:r w:rsidR="0032119B" w:rsidRPr="006E36A0">
        <w:rPr>
          <w:rFonts w:hAnsi="ＭＳ 明朝" w:hint="eastAsia"/>
          <w:szCs w:val="24"/>
        </w:rPr>
        <w:t xml:space="preserve"> (0.4</w:t>
      </w:r>
      <w:r w:rsidRPr="006E36A0">
        <w:rPr>
          <w:rFonts w:hAnsi="ＭＳ 明朝" w:hint="eastAsia"/>
          <w:szCs w:val="24"/>
        </w:rPr>
        <w:t>％)増加している。</w:t>
      </w:r>
      <w:r w:rsidRPr="007C5F94">
        <w:rPr>
          <w:rFonts w:hAnsi="ＭＳ 明朝" w:hint="eastAsia"/>
          <w:szCs w:val="24"/>
        </w:rPr>
        <w:t>これは</w:t>
      </w:r>
      <w:r w:rsidR="007C5F94" w:rsidRPr="007C5F94">
        <w:rPr>
          <w:rFonts w:hAnsi="ＭＳ 明朝" w:hint="eastAsia"/>
          <w:szCs w:val="24"/>
        </w:rPr>
        <w:t>納税義務者数</w:t>
      </w:r>
      <w:r w:rsidR="007C5F94">
        <w:rPr>
          <w:rFonts w:hAnsi="ＭＳ 明朝" w:hint="eastAsia"/>
          <w:szCs w:val="24"/>
        </w:rPr>
        <w:t>が</w:t>
      </w:r>
      <w:r w:rsidR="007C5F94" w:rsidRPr="007C5F94">
        <w:rPr>
          <w:rFonts w:hAnsi="ＭＳ 明朝" w:hint="eastAsia"/>
          <w:szCs w:val="24"/>
        </w:rPr>
        <w:t>前年度に比べ減少したものの、均等割のみの納税義務者数</w:t>
      </w:r>
      <w:r w:rsidR="007C5F94">
        <w:rPr>
          <w:rFonts w:hAnsi="ＭＳ 明朝" w:hint="eastAsia"/>
          <w:szCs w:val="24"/>
        </w:rPr>
        <w:t>は</w:t>
      </w:r>
      <w:r w:rsidR="007C5F94" w:rsidRPr="007C5F94">
        <w:rPr>
          <w:rFonts w:hAnsi="ＭＳ 明朝" w:hint="eastAsia"/>
          <w:szCs w:val="24"/>
        </w:rPr>
        <w:t>増加したこと</w:t>
      </w:r>
      <w:r w:rsidRPr="007C5F94">
        <w:rPr>
          <w:rFonts w:hAnsi="ＭＳ 明朝" w:hint="eastAsia"/>
          <w:szCs w:val="24"/>
        </w:rPr>
        <w:t>によるものである。</w:t>
      </w:r>
    </w:p>
    <w:p w:rsidR="00986458" w:rsidRPr="007C5F94" w:rsidRDefault="00986458" w:rsidP="00D21795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6E36A0">
        <w:rPr>
          <w:rFonts w:hAnsi="ＭＳ 明朝" w:hint="eastAsia"/>
          <w:szCs w:val="24"/>
        </w:rPr>
        <w:t>法人市民税は、</w:t>
      </w:r>
      <w:r w:rsidR="006E36A0" w:rsidRPr="006E36A0">
        <w:rPr>
          <w:rFonts w:hAnsi="ＭＳ 明朝" w:hint="eastAsia"/>
          <w:szCs w:val="24"/>
        </w:rPr>
        <w:t>2,012</w:t>
      </w:r>
      <w:r w:rsidRPr="006E36A0">
        <w:rPr>
          <w:rFonts w:hAnsi="ＭＳ 明朝" w:hint="eastAsia"/>
          <w:szCs w:val="24"/>
        </w:rPr>
        <w:t>,</w:t>
      </w:r>
      <w:r w:rsidR="006E36A0" w:rsidRPr="006E36A0">
        <w:rPr>
          <w:rFonts w:hAnsi="ＭＳ 明朝" w:hint="eastAsia"/>
          <w:szCs w:val="24"/>
        </w:rPr>
        <w:t>570</w:t>
      </w:r>
      <w:r w:rsidRPr="006E36A0">
        <w:rPr>
          <w:rFonts w:hAnsi="ＭＳ 明朝" w:hint="eastAsia"/>
          <w:szCs w:val="24"/>
        </w:rPr>
        <w:t>千円で前年度に比べ</w:t>
      </w:r>
      <w:r w:rsidR="006E36A0" w:rsidRPr="006E36A0">
        <w:rPr>
          <w:rFonts w:hAnsi="ＭＳ 明朝" w:hint="eastAsia"/>
          <w:szCs w:val="24"/>
        </w:rPr>
        <w:t>22</w:t>
      </w:r>
      <w:r w:rsidRPr="006E36A0">
        <w:rPr>
          <w:rFonts w:hAnsi="ＭＳ 明朝" w:hint="eastAsia"/>
          <w:szCs w:val="24"/>
        </w:rPr>
        <w:t>4,</w:t>
      </w:r>
      <w:r w:rsidR="006E36A0" w:rsidRPr="006E36A0">
        <w:rPr>
          <w:rFonts w:hAnsi="ＭＳ 明朝" w:hint="eastAsia"/>
          <w:szCs w:val="24"/>
        </w:rPr>
        <w:t>596</w:t>
      </w:r>
      <w:r w:rsidRPr="006E36A0">
        <w:rPr>
          <w:rFonts w:hAnsi="ＭＳ 明朝" w:hint="eastAsia"/>
          <w:szCs w:val="24"/>
        </w:rPr>
        <w:t>千円（△</w:t>
      </w:r>
      <w:r w:rsidR="006E36A0" w:rsidRPr="006E36A0">
        <w:rPr>
          <w:rFonts w:hAnsi="ＭＳ 明朝" w:hint="eastAsia"/>
          <w:szCs w:val="24"/>
        </w:rPr>
        <w:t>10</w:t>
      </w:r>
      <w:r w:rsidRPr="006E36A0">
        <w:rPr>
          <w:rFonts w:hAnsi="ＭＳ 明朝" w:hint="eastAsia"/>
          <w:szCs w:val="24"/>
        </w:rPr>
        <w:t>.0％）減少している。</w:t>
      </w:r>
      <w:r w:rsidRPr="007C5F94">
        <w:rPr>
          <w:rFonts w:hAnsi="ＭＳ 明朝" w:hint="eastAsia"/>
          <w:szCs w:val="24"/>
        </w:rPr>
        <w:t>これは、</w:t>
      </w:r>
      <w:r w:rsidR="007C5F94" w:rsidRPr="007C5F94">
        <w:rPr>
          <w:rFonts w:hAnsi="ＭＳ 明朝" w:hint="eastAsia"/>
          <w:szCs w:val="24"/>
        </w:rPr>
        <w:t>法人税率の引き下げの影響</w:t>
      </w:r>
      <w:r w:rsidR="00D21795">
        <w:rPr>
          <w:rFonts w:hAnsi="ＭＳ 明朝" w:hint="eastAsia"/>
          <w:szCs w:val="24"/>
        </w:rPr>
        <w:t>等によるもの</w:t>
      </w:r>
      <w:r w:rsidR="00982EB7">
        <w:rPr>
          <w:rFonts w:hAnsi="ＭＳ 明朝" w:hint="eastAsia"/>
          <w:szCs w:val="24"/>
        </w:rPr>
        <w:t>と</w:t>
      </w:r>
      <w:r w:rsidRPr="007C5F94">
        <w:rPr>
          <w:rFonts w:hAnsi="ＭＳ 明朝" w:hint="eastAsia"/>
          <w:szCs w:val="24"/>
        </w:rPr>
        <w:t>考えられる。</w:t>
      </w:r>
    </w:p>
    <w:p w:rsidR="004E3054" w:rsidRDefault="00986458" w:rsidP="004E3054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6E36A0">
        <w:rPr>
          <w:rFonts w:hAnsi="ＭＳ 明朝" w:hint="eastAsia"/>
          <w:szCs w:val="24"/>
        </w:rPr>
        <w:t>固定資産税は、</w:t>
      </w:r>
      <w:r w:rsidR="006E36A0" w:rsidRPr="006E36A0">
        <w:rPr>
          <w:rFonts w:hAnsi="ＭＳ 明朝" w:hint="eastAsia"/>
          <w:szCs w:val="24"/>
        </w:rPr>
        <w:t>13,063,884</w:t>
      </w:r>
      <w:r w:rsidRPr="006E36A0">
        <w:rPr>
          <w:rFonts w:hAnsi="ＭＳ 明朝" w:hint="eastAsia"/>
          <w:szCs w:val="24"/>
        </w:rPr>
        <w:t>千円で前年度に比べ</w:t>
      </w:r>
      <w:r w:rsidR="006E36A0" w:rsidRPr="006E36A0">
        <w:rPr>
          <w:rFonts w:hAnsi="ＭＳ 明朝" w:hint="eastAsia"/>
          <w:szCs w:val="24"/>
        </w:rPr>
        <w:t>136,882</w:t>
      </w:r>
      <w:r w:rsidRPr="006E36A0">
        <w:rPr>
          <w:rFonts w:hAnsi="ＭＳ 明朝" w:hint="eastAsia"/>
          <w:szCs w:val="24"/>
        </w:rPr>
        <w:t>千円</w:t>
      </w:r>
      <w:r w:rsidR="006E36A0" w:rsidRPr="006E36A0">
        <w:rPr>
          <w:rFonts w:hAnsi="ＭＳ 明朝" w:hint="eastAsia"/>
          <w:szCs w:val="24"/>
        </w:rPr>
        <w:t>（1.1</w:t>
      </w:r>
      <w:r w:rsidRPr="006E36A0">
        <w:rPr>
          <w:rFonts w:hAnsi="ＭＳ 明朝" w:hint="eastAsia"/>
          <w:szCs w:val="24"/>
        </w:rPr>
        <w:t>％）</w:t>
      </w:r>
      <w:r w:rsidR="006E36A0" w:rsidRPr="006E36A0">
        <w:rPr>
          <w:rFonts w:hAnsi="ＭＳ 明朝" w:hint="eastAsia"/>
          <w:szCs w:val="24"/>
        </w:rPr>
        <w:t>増加</w:t>
      </w:r>
      <w:r w:rsidRPr="006E36A0">
        <w:rPr>
          <w:rFonts w:hAnsi="ＭＳ 明朝" w:hint="eastAsia"/>
          <w:szCs w:val="24"/>
        </w:rPr>
        <w:t>して</w:t>
      </w:r>
    </w:p>
    <w:p w:rsidR="004E3054" w:rsidRDefault="00986458" w:rsidP="004E3054">
      <w:pPr>
        <w:kinsoku w:val="0"/>
        <w:overflowPunct w:val="0"/>
        <w:snapToGrid w:val="0"/>
        <w:spacing w:line="240" w:lineRule="auto"/>
        <w:ind w:leftChars="300" w:left="720"/>
        <w:jc w:val="distribute"/>
        <w:rPr>
          <w:rFonts w:hAnsi="ＭＳ 明朝"/>
          <w:szCs w:val="24"/>
        </w:rPr>
      </w:pPr>
      <w:r w:rsidRPr="006E36A0">
        <w:rPr>
          <w:rFonts w:hAnsi="ＭＳ 明朝" w:hint="eastAsia"/>
          <w:szCs w:val="24"/>
        </w:rPr>
        <w:t>いる。</w:t>
      </w:r>
      <w:r w:rsidRPr="00DB0DA3">
        <w:rPr>
          <w:rFonts w:hAnsi="ＭＳ 明朝" w:hint="eastAsia"/>
          <w:szCs w:val="24"/>
        </w:rPr>
        <w:t>これは主に</w:t>
      </w:r>
      <w:r w:rsidR="00B115A4" w:rsidRPr="00DB0DA3">
        <w:rPr>
          <w:rFonts w:hAnsi="ＭＳ 明朝" w:hint="eastAsia"/>
          <w:szCs w:val="24"/>
        </w:rPr>
        <w:t>、家屋</w:t>
      </w:r>
      <w:r w:rsidRPr="00DB0DA3">
        <w:rPr>
          <w:rFonts w:hAnsi="ＭＳ 明朝" w:hint="eastAsia"/>
          <w:szCs w:val="24"/>
        </w:rPr>
        <w:t>評価</w:t>
      </w:r>
      <w:r w:rsidR="00B115A4" w:rsidRPr="00DB0DA3">
        <w:rPr>
          <w:rFonts w:hAnsi="ＭＳ 明朝" w:hint="eastAsia"/>
          <w:szCs w:val="24"/>
        </w:rPr>
        <w:t>の据置年度であったことから、新築や増築家屋の</w:t>
      </w:r>
    </w:p>
    <w:p w:rsidR="00986458" w:rsidRPr="00DB0DA3" w:rsidRDefault="00B115A4" w:rsidP="004E3054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DB0DA3">
        <w:rPr>
          <w:rFonts w:hAnsi="ＭＳ 明朝" w:hint="eastAsia"/>
          <w:szCs w:val="24"/>
        </w:rPr>
        <w:t>登録数が増加したこと</w:t>
      </w:r>
      <w:r w:rsidR="00986458" w:rsidRPr="00DB0DA3">
        <w:rPr>
          <w:rFonts w:hAnsi="ＭＳ 明朝" w:hint="eastAsia"/>
          <w:szCs w:val="24"/>
        </w:rPr>
        <w:t>によるものである。</w:t>
      </w:r>
    </w:p>
    <w:p w:rsidR="00DB0DA3" w:rsidRDefault="00DB0DA3" w:rsidP="00986458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軽自動車税は</w:t>
      </w:r>
      <w:r w:rsidR="00B87C4E" w:rsidRPr="00B87C4E">
        <w:rPr>
          <w:rFonts w:hAnsi="ＭＳ 明朝" w:hint="eastAsia"/>
          <w:szCs w:val="24"/>
        </w:rPr>
        <w:t>356,930</w:t>
      </w:r>
      <w:r w:rsidR="00986458" w:rsidRPr="00B87C4E">
        <w:rPr>
          <w:rFonts w:hAnsi="ＭＳ 明朝" w:hint="eastAsia"/>
          <w:szCs w:val="24"/>
        </w:rPr>
        <w:t>千円で</w:t>
      </w:r>
      <w:r>
        <w:rPr>
          <w:rFonts w:hAnsi="ＭＳ 明朝" w:hint="eastAsia"/>
          <w:szCs w:val="24"/>
        </w:rPr>
        <w:t>、</w:t>
      </w:r>
      <w:r w:rsidR="00986458" w:rsidRPr="00B87C4E">
        <w:rPr>
          <w:rFonts w:hAnsi="ＭＳ 明朝" w:hint="eastAsia"/>
          <w:szCs w:val="24"/>
        </w:rPr>
        <w:t>前年度に引き続き軽四輪乗用自家用車</w:t>
      </w:r>
      <w:r>
        <w:rPr>
          <w:rFonts w:hAnsi="ＭＳ 明朝" w:hint="eastAsia"/>
          <w:szCs w:val="24"/>
        </w:rPr>
        <w:t>の課税台数</w:t>
      </w:r>
      <w:r w:rsidR="00986458" w:rsidRPr="00B87C4E">
        <w:rPr>
          <w:rFonts w:hAnsi="ＭＳ 明朝" w:hint="eastAsia"/>
          <w:szCs w:val="24"/>
        </w:rPr>
        <w:t>増により、</w:t>
      </w:r>
      <w:r w:rsidR="00B87C4E" w:rsidRPr="00B87C4E">
        <w:rPr>
          <w:rFonts w:hAnsi="ＭＳ 明朝" w:hint="eastAsia"/>
          <w:szCs w:val="24"/>
        </w:rPr>
        <w:t>8,019</w:t>
      </w:r>
      <w:r w:rsidR="004E3054">
        <w:rPr>
          <w:rFonts w:hAnsi="ＭＳ 明朝" w:hint="eastAsia"/>
          <w:szCs w:val="24"/>
        </w:rPr>
        <w:t>千円(</w:t>
      </w:r>
      <w:r w:rsidR="00B87C4E" w:rsidRPr="00B87C4E">
        <w:rPr>
          <w:rFonts w:hAnsi="ＭＳ 明朝" w:hint="eastAsia"/>
          <w:szCs w:val="24"/>
        </w:rPr>
        <w:t>2.3</w:t>
      </w:r>
      <w:r w:rsidR="004E3054">
        <w:rPr>
          <w:rFonts w:hAnsi="ＭＳ 明朝" w:hint="eastAsia"/>
          <w:szCs w:val="24"/>
        </w:rPr>
        <w:t>％</w:t>
      </w:r>
      <w:r w:rsidR="004E3054">
        <w:rPr>
          <w:rFonts w:hAnsi="ＭＳ 明朝"/>
          <w:szCs w:val="24"/>
        </w:rPr>
        <w:t>）</w:t>
      </w:r>
      <w:r w:rsidR="00986458" w:rsidRPr="00B87C4E">
        <w:rPr>
          <w:rFonts w:hAnsi="ＭＳ 明朝" w:hint="eastAsia"/>
          <w:szCs w:val="24"/>
        </w:rPr>
        <w:t>増加している。</w:t>
      </w:r>
    </w:p>
    <w:p w:rsidR="004E3054" w:rsidRDefault="00487836" w:rsidP="004E3054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市たばこ税は</w:t>
      </w:r>
      <w:r w:rsidR="00B87C4E" w:rsidRPr="00B87C4E">
        <w:rPr>
          <w:rFonts w:hAnsi="ＭＳ 明朝" w:hint="eastAsia"/>
          <w:szCs w:val="24"/>
        </w:rPr>
        <w:t>1,409,780</w:t>
      </w:r>
      <w:r w:rsidR="00986458" w:rsidRPr="00B87C4E">
        <w:rPr>
          <w:rFonts w:hAnsi="ＭＳ 明朝" w:hint="eastAsia"/>
          <w:szCs w:val="24"/>
        </w:rPr>
        <w:t>千円で、</w:t>
      </w:r>
      <w:r w:rsidR="00DB0DA3">
        <w:rPr>
          <w:rFonts w:hAnsi="ＭＳ 明朝" w:hint="eastAsia"/>
          <w:szCs w:val="24"/>
        </w:rPr>
        <w:t>売り渡し本数が減少したものの、県からの税源</w:t>
      </w:r>
    </w:p>
    <w:p w:rsidR="004E3054" w:rsidRDefault="00DB0DA3" w:rsidP="004E3054">
      <w:pPr>
        <w:kinsoku w:val="0"/>
        <w:overflowPunct w:val="0"/>
        <w:snapToGrid w:val="0"/>
        <w:spacing w:line="240" w:lineRule="auto"/>
        <w:ind w:leftChars="300" w:left="720"/>
        <w:jc w:val="distribute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移譲による税率の変更</w:t>
      </w:r>
      <w:r w:rsidR="00487836">
        <w:rPr>
          <w:rFonts w:hAnsi="ＭＳ 明朝" w:hint="eastAsia"/>
          <w:szCs w:val="24"/>
        </w:rPr>
        <w:t>によって、</w:t>
      </w:r>
      <w:r w:rsidR="00986458" w:rsidRPr="00B87C4E">
        <w:rPr>
          <w:rFonts w:hAnsi="ＭＳ 明朝" w:hint="eastAsia"/>
          <w:szCs w:val="24"/>
        </w:rPr>
        <w:t>前年度に比べ</w:t>
      </w:r>
      <w:r w:rsidR="00B87C4E" w:rsidRPr="00B87C4E">
        <w:rPr>
          <w:rFonts w:hAnsi="ＭＳ 明朝" w:hint="eastAsia"/>
          <w:szCs w:val="24"/>
        </w:rPr>
        <w:t>142</w:t>
      </w:r>
      <w:r w:rsidR="00986458" w:rsidRPr="00B87C4E">
        <w:rPr>
          <w:rFonts w:hAnsi="ＭＳ 明朝" w:hint="eastAsia"/>
          <w:szCs w:val="24"/>
        </w:rPr>
        <w:t>,</w:t>
      </w:r>
      <w:r w:rsidR="00B87C4E" w:rsidRPr="00B87C4E">
        <w:rPr>
          <w:rFonts w:hAnsi="ＭＳ 明朝" w:hint="eastAsia"/>
          <w:szCs w:val="24"/>
        </w:rPr>
        <w:t>412</w:t>
      </w:r>
      <w:r w:rsidR="00986458" w:rsidRPr="00B87C4E">
        <w:rPr>
          <w:rFonts w:hAnsi="ＭＳ 明朝" w:hint="eastAsia"/>
          <w:szCs w:val="24"/>
        </w:rPr>
        <w:t>千円(</w:t>
      </w:r>
      <w:r w:rsidR="00B87C4E" w:rsidRPr="00B87C4E">
        <w:rPr>
          <w:rFonts w:hAnsi="ＭＳ 明朝" w:hint="eastAsia"/>
          <w:szCs w:val="24"/>
        </w:rPr>
        <w:t>11.2</w:t>
      </w:r>
      <w:r w:rsidR="00986458" w:rsidRPr="00B87C4E">
        <w:rPr>
          <w:rFonts w:hAnsi="ＭＳ 明朝" w:hint="eastAsia"/>
          <w:szCs w:val="24"/>
        </w:rPr>
        <w:t>％</w:t>
      </w:r>
      <w:r w:rsidR="004E3054">
        <w:rPr>
          <w:rFonts w:hAnsi="ＭＳ 明朝" w:hint="eastAsia"/>
          <w:szCs w:val="24"/>
        </w:rPr>
        <w:t>)</w:t>
      </w:r>
      <w:r w:rsidR="00B87C4E" w:rsidRPr="00B87C4E">
        <w:rPr>
          <w:rFonts w:hAnsi="ＭＳ 明朝" w:hint="eastAsia"/>
          <w:szCs w:val="24"/>
        </w:rPr>
        <w:t>増加</w:t>
      </w:r>
      <w:r w:rsidR="00986458" w:rsidRPr="00B87C4E">
        <w:rPr>
          <w:rFonts w:hAnsi="ＭＳ 明朝" w:hint="eastAsia"/>
          <w:szCs w:val="24"/>
        </w:rPr>
        <w:t>して</w:t>
      </w:r>
    </w:p>
    <w:p w:rsidR="00986458" w:rsidRPr="00B87C4E" w:rsidRDefault="00986458" w:rsidP="004E3054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B87C4E">
        <w:rPr>
          <w:rFonts w:hAnsi="ＭＳ 明朝" w:hint="eastAsia"/>
          <w:szCs w:val="24"/>
        </w:rPr>
        <w:t>いる。</w:t>
      </w:r>
    </w:p>
    <w:p w:rsidR="004E3054" w:rsidRDefault="00986458" w:rsidP="004E3054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DB0DA3">
        <w:rPr>
          <w:rFonts w:hAnsi="ＭＳ 明朝" w:hint="eastAsia"/>
          <w:szCs w:val="24"/>
        </w:rPr>
        <w:t>収入未済額は</w:t>
      </w:r>
      <w:r w:rsidR="00B87C4E" w:rsidRPr="00DB0DA3">
        <w:rPr>
          <w:rFonts w:hAnsi="ＭＳ 明朝" w:hint="eastAsia"/>
          <w:szCs w:val="24"/>
        </w:rPr>
        <w:t>1,444,505</w:t>
      </w:r>
      <w:r w:rsidRPr="00DB0DA3">
        <w:rPr>
          <w:rFonts w:hAnsi="ＭＳ 明朝" w:hint="eastAsia"/>
          <w:szCs w:val="24"/>
        </w:rPr>
        <w:t>千円で、前年度に比べ</w:t>
      </w:r>
      <w:r w:rsidR="00B87C4E" w:rsidRPr="00DB0DA3">
        <w:rPr>
          <w:rFonts w:hAnsi="ＭＳ 明朝" w:hint="eastAsia"/>
          <w:szCs w:val="24"/>
        </w:rPr>
        <w:t>156,263</w:t>
      </w:r>
      <w:r w:rsidR="004E3054">
        <w:rPr>
          <w:rFonts w:hAnsi="ＭＳ 明朝" w:hint="eastAsia"/>
          <w:szCs w:val="24"/>
        </w:rPr>
        <w:t>千円(</w:t>
      </w:r>
      <w:r w:rsidR="00C0188E" w:rsidRPr="006E36A0">
        <w:rPr>
          <w:rFonts w:hAnsi="ＭＳ 明朝" w:hint="eastAsia"/>
          <w:szCs w:val="24"/>
        </w:rPr>
        <w:t>△</w:t>
      </w:r>
      <w:r w:rsidR="00B87C4E" w:rsidRPr="00DB0DA3">
        <w:rPr>
          <w:rFonts w:hAnsi="ＭＳ 明朝" w:hint="eastAsia"/>
          <w:szCs w:val="24"/>
        </w:rPr>
        <w:t>9.8</w:t>
      </w:r>
      <w:r w:rsidR="004E3054">
        <w:rPr>
          <w:rFonts w:hAnsi="ＭＳ 明朝" w:hint="eastAsia"/>
          <w:szCs w:val="24"/>
        </w:rPr>
        <w:t>％</w:t>
      </w:r>
      <w:r w:rsidR="004E3054">
        <w:rPr>
          <w:rFonts w:hAnsi="ＭＳ 明朝"/>
          <w:szCs w:val="24"/>
        </w:rPr>
        <w:t>）</w:t>
      </w:r>
      <w:r w:rsidRPr="00DB0DA3">
        <w:rPr>
          <w:rFonts w:hAnsi="ＭＳ 明朝" w:hint="eastAsia"/>
          <w:szCs w:val="24"/>
        </w:rPr>
        <w:t>減少して</w:t>
      </w:r>
    </w:p>
    <w:p w:rsidR="004E3054" w:rsidRDefault="00986458" w:rsidP="00496D6D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DB0DA3">
        <w:rPr>
          <w:rFonts w:hAnsi="ＭＳ 明朝" w:hint="eastAsia"/>
          <w:szCs w:val="24"/>
        </w:rPr>
        <w:t>いる。</w:t>
      </w:r>
      <w:r w:rsidRPr="009F2D60">
        <w:rPr>
          <w:rFonts w:hAnsi="ＭＳ 明朝" w:hint="eastAsia"/>
          <w:szCs w:val="24"/>
        </w:rPr>
        <w:t>このうち現年課税分</w:t>
      </w:r>
      <w:r w:rsidRPr="00305C20">
        <w:rPr>
          <w:rFonts w:hAnsi="ＭＳ 明朝" w:hint="eastAsia"/>
          <w:szCs w:val="24"/>
        </w:rPr>
        <w:t>は</w:t>
      </w:r>
      <w:r w:rsidR="00C96AFB" w:rsidRPr="00305C20">
        <w:rPr>
          <w:rFonts w:hAnsi="ＭＳ 明朝" w:hint="eastAsia"/>
          <w:szCs w:val="24"/>
        </w:rPr>
        <w:t>359,718</w:t>
      </w:r>
      <w:r w:rsidRPr="00305C20">
        <w:rPr>
          <w:rFonts w:hAnsi="ＭＳ 明朝" w:hint="eastAsia"/>
          <w:szCs w:val="24"/>
        </w:rPr>
        <w:t>千円で</w:t>
      </w:r>
      <w:r w:rsidR="004E3054">
        <w:rPr>
          <w:rFonts w:hAnsi="ＭＳ 明朝" w:hint="eastAsia"/>
          <w:szCs w:val="24"/>
        </w:rPr>
        <w:t>、</w:t>
      </w:r>
      <w:r w:rsidRPr="00305C20">
        <w:rPr>
          <w:rFonts w:hAnsi="ＭＳ 明朝" w:hint="eastAsia"/>
          <w:szCs w:val="24"/>
        </w:rPr>
        <w:t>前年度に比べ</w:t>
      </w:r>
      <w:r w:rsidR="00FA7404">
        <w:rPr>
          <w:rFonts w:hAnsi="ＭＳ 明朝" w:hint="eastAsia"/>
          <w:szCs w:val="24"/>
        </w:rPr>
        <w:t>49,141</w:t>
      </w:r>
      <w:r w:rsidRPr="00305C20">
        <w:rPr>
          <w:rFonts w:hAnsi="ＭＳ 明朝" w:hint="eastAsia"/>
          <w:szCs w:val="24"/>
        </w:rPr>
        <w:t>千円(</w:t>
      </w:r>
      <w:r w:rsidR="00305C20" w:rsidRPr="00305C20">
        <w:rPr>
          <w:rFonts w:hAnsi="ＭＳ 明朝" w:hint="eastAsia"/>
          <w:szCs w:val="24"/>
        </w:rPr>
        <w:t>△12.0</w:t>
      </w:r>
      <w:r w:rsidRPr="00305C20">
        <w:rPr>
          <w:rFonts w:hAnsi="ＭＳ 明朝" w:hint="eastAsia"/>
          <w:szCs w:val="24"/>
        </w:rPr>
        <w:t xml:space="preserve">％) </w:t>
      </w:r>
    </w:p>
    <w:p w:rsidR="00986458" w:rsidRPr="00305C20" w:rsidRDefault="00305C20" w:rsidP="004E3054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305C20">
        <w:rPr>
          <w:rFonts w:hAnsi="ＭＳ 明朝" w:hint="eastAsia"/>
          <w:szCs w:val="24"/>
        </w:rPr>
        <w:t>減少</w:t>
      </w:r>
      <w:r w:rsidR="00986458" w:rsidRPr="00305C20">
        <w:rPr>
          <w:rFonts w:hAnsi="ＭＳ 明朝" w:hint="eastAsia"/>
          <w:szCs w:val="24"/>
        </w:rPr>
        <w:t>し、滞納繰越分は</w:t>
      </w:r>
      <w:r w:rsidRPr="00305C20">
        <w:rPr>
          <w:rFonts w:hAnsi="ＭＳ 明朝" w:hint="eastAsia"/>
          <w:szCs w:val="24"/>
        </w:rPr>
        <w:t>1,084,787</w:t>
      </w:r>
      <w:r w:rsidR="00986458" w:rsidRPr="00305C20">
        <w:rPr>
          <w:rFonts w:hAnsi="ＭＳ 明朝" w:hint="eastAsia"/>
          <w:szCs w:val="24"/>
        </w:rPr>
        <w:t>千円で前年度に比べ</w:t>
      </w:r>
      <w:r w:rsidRPr="00305C20">
        <w:rPr>
          <w:rFonts w:hAnsi="ＭＳ 明朝" w:hint="eastAsia"/>
          <w:szCs w:val="24"/>
        </w:rPr>
        <w:t>107,121</w:t>
      </w:r>
      <w:r w:rsidR="00986458" w:rsidRPr="00305C20">
        <w:rPr>
          <w:rFonts w:hAnsi="ＭＳ 明朝" w:hint="eastAsia"/>
          <w:szCs w:val="24"/>
        </w:rPr>
        <w:t>千円（△</w:t>
      </w:r>
      <w:r w:rsidRPr="00305C20">
        <w:rPr>
          <w:rFonts w:hAnsi="ＭＳ 明朝" w:hint="eastAsia"/>
          <w:szCs w:val="24"/>
        </w:rPr>
        <w:t>9.0</w:t>
      </w:r>
      <w:r w:rsidR="00986458" w:rsidRPr="00305C20">
        <w:rPr>
          <w:rFonts w:hAnsi="ＭＳ 明朝" w:hint="eastAsia"/>
          <w:szCs w:val="24"/>
        </w:rPr>
        <w:t>％）減少している。</w:t>
      </w:r>
    </w:p>
    <w:p w:rsidR="00986458" w:rsidRPr="009F2D60" w:rsidRDefault="00986458" w:rsidP="00986458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9F2D60">
        <w:rPr>
          <w:rFonts w:hAnsi="ＭＳ 明朝" w:hint="eastAsia"/>
          <w:szCs w:val="24"/>
        </w:rPr>
        <w:t>これを税別でみると前年度に比べ市民税で</w:t>
      </w:r>
      <w:r w:rsidR="009F2D60" w:rsidRPr="009F2D60">
        <w:rPr>
          <w:rFonts w:hAnsi="ＭＳ 明朝" w:hint="eastAsia"/>
          <w:szCs w:val="24"/>
        </w:rPr>
        <w:t>77,586</w:t>
      </w:r>
      <w:r w:rsidR="009F2D60">
        <w:rPr>
          <w:rFonts w:hAnsi="ＭＳ 明朝" w:hint="eastAsia"/>
          <w:szCs w:val="24"/>
        </w:rPr>
        <w:t>千円(</w:t>
      </w:r>
      <w:r w:rsidRPr="009F2D60">
        <w:rPr>
          <w:rFonts w:hAnsi="ＭＳ 明朝" w:hint="eastAsia"/>
          <w:szCs w:val="24"/>
        </w:rPr>
        <w:t>△</w:t>
      </w:r>
      <w:r w:rsidR="009F2D60" w:rsidRPr="009F2D60">
        <w:rPr>
          <w:rFonts w:hAnsi="ＭＳ 明朝" w:hint="eastAsia"/>
          <w:szCs w:val="24"/>
        </w:rPr>
        <w:t>11.1</w:t>
      </w:r>
      <w:r w:rsidR="009F2D60">
        <w:rPr>
          <w:rFonts w:hAnsi="ＭＳ 明朝" w:hint="eastAsia"/>
          <w:szCs w:val="24"/>
        </w:rPr>
        <w:t>％)</w:t>
      </w:r>
      <w:r w:rsidRPr="009F2D60">
        <w:rPr>
          <w:rFonts w:hAnsi="ＭＳ 明朝" w:hint="eastAsia"/>
          <w:szCs w:val="24"/>
        </w:rPr>
        <w:t>、固定資産税で</w:t>
      </w:r>
      <w:r w:rsidR="009F2D60" w:rsidRPr="00F36991">
        <w:rPr>
          <w:rFonts w:hAnsi="ＭＳ 明朝" w:hint="eastAsia"/>
          <w:spacing w:val="2"/>
          <w:szCs w:val="24"/>
          <w:fitText w:val="8880" w:id="675548672"/>
        </w:rPr>
        <w:t>78,062千円(</w:t>
      </w:r>
      <w:r w:rsidRPr="00F36991">
        <w:rPr>
          <w:rFonts w:hAnsi="ＭＳ 明朝" w:hint="eastAsia"/>
          <w:spacing w:val="2"/>
          <w:szCs w:val="24"/>
          <w:fitText w:val="8880" w:id="675548672"/>
        </w:rPr>
        <w:t>△</w:t>
      </w:r>
      <w:r w:rsidR="009F2D60" w:rsidRPr="00F36991">
        <w:rPr>
          <w:rFonts w:hAnsi="ＭＳ 明朝" w:hint="eastAsia"/>
          <w:spacing w:val="2"/>
          <w:szCs w:val="24"/>
          <w:fitText w:val="8880" w:id="675548672"/>
        </w:rPr>
        <w:t>8.9％)</w:t>
      </w:r>
      <w:r w:rsidRPr="00F36991">
        <w:rPr>
          <w:rFonts w:hAnsi="ＭＳ 明朝" w:hint="eastAsia"/>
          <w:spacing w:val="2"/>
          <w:szCs w:val="24"/>
          <w:fitText w:val="8880" w:id="675548672"/>
        </w:rPr>
        <w:t>、軽自動車税で</w:t>
      </w:r>
      <w:r w:rsidR="009F2D60" w:rsidRPr="00F36991">
        <w:rPr>
          <w:rFonts w:hAnsi="ＭＳ 明朝" w:hint="eastAsia"/>
          <w:spacing w:val="2"/>
          <w:szCs w:val="24"/>
          <w:fitText w:val="8880" w:id="675548672"/>
        </w:rPr>
        <w:t>615千円(</w:t>
      </w:r>
      <w:r w:rsidRPr="00F36991">
        <w:rPr>
          <w:rFonts w:hAnsi="ＭＳ 明朝" w:hint="eastAsia"/>
          <w:spacing w:val="2"/>
          <w:szCs w:val="24"/>
          <w:fitText w:val="8880" w:id="675548672"/>
        </w:rPr>
        <w:t>△</w:t>
      </w:r>
      <w:r w:rsidR="009F2D60" w:rsidRPr="00F36991">
        <w:rPr>
          <w:rFonts w:hAnsi="ＭＳ 明朝" w:hint="eastAsia"/>
          <w:spacing w:val="2"/>
          <w:szCs w:val="24"/>
          <w:fitText w:val="8880" w:id="675548672"/>
        </w:rPr>
        <w:t>2.7％)</w:t>
      </w:r>
      <w:r w:rsidRPr="00F36991">
        <w:rPr>
          <w:rFonts w:hAnsi="ＭＳ 明朝" w:hint="eastAsia"/>
          <w:spacing w:val="2"/>
          <w:szCs w:val="24"/>
          <w:fitText w:val="8880" w:id="675548672"/>
        </w:rPr>
        <w:t>とそれぞれ減少している</w:t>
      </w:r>
      <w:r w:rsidRPr="00F36991">
        <w:rPr>
          <w:rFonts w:hAnsi="ＭＳ 明朝" w:hint="eastAsia"/>
          <w:spacing w:val="-11"/>
          <w:szCs w:val="24"/>
          <w:fitText w:val="8880" w:id="675548672"/>
        </w:rPr>
        <w:t>。</w:t>
      </w:r>
    </w:p>
    <w:p w:rsidR="00986458" w:rsidRPr="009F2D60" w:rsidRDefault="00986458" w:rsidP="00986458">
      <w:pPr>
        <w:spacing w:line="240" w:lineRule="auto"/>
        <w:ind w:leftChars="100" w:left="240" w:firstLineChars="300" w:firstLine="720"/>
        <w:rPr>
          <w:rFonts w:hAnsi="ＭＳ 明朝"/>
          <w:szCs w:val="24"/>
        </w:rPr>
      </w:pPr>
      <w:r w:rsidRPr="009F2D60">
        <w:rPr>
          <w:rFonts w:hAnsi="ＭＳ 明朝" w:hint="eastAsia"/>
          <w:szCs w:val="24"/>
        </w:rPr>
        <w:t>不納欠損額は</w:t>
      </w:r>
      <w:r w:rsidR="009F2D60" w:rsidRPr="009F2D60">
        <w:rPr>
          <w:rFonts w:hAnsi="ＭＳ 明朝" w:hint="eastAsia"/>
          <w:szCs w:val="24"/>
        </w:rPr>
        <w:t>238,739</w:t>
      </w:r>
      <w:r w:rsidRPr="009F2D60">
        <w:rPr>
          <w:rFonts w:hAnsi="ＭＳ 明朝" w:hint="eastAsia"/>
          <w:szCs w:val="24"/>
        </w:rPr>
        <w:t>千円で、前年度に比べ</w:t>
      </w:r>
      <w:r w:rsidR="009F2D60" w:rsidRPr="009F2D60">
        <w:rPr>
          <w:rFonts w:hAnsi="ＭＳ 明朝" w:hint="eastAsia"/>
          <w:szCs w:val="24"/>
        </w:rPr>
        <w:t>42,899</w:t>
      </w:r>
      <w:r w:rsidRPr="009F2D60">
        <w:rPr>
          <w:rFonts w:hAnsi="ＭＳ 明朝" w:hint="eastAsia"/>
          <w:szCs w:val="24"/>
        </w:rPr>
        <w:t>千円（△</w:t>
      </w:r>
      <w:r w:rsidR="009F2D60" w:rsidRPr="009F2D60">
        <w:rPr>
          <w:rFonts w:hAnsi="ＭＳ 明朝" w:hint="eastAsia"/>
          <w:szCs w:val="24"/>
        </w:rPr>
        <w:t>15.2</w:t>
      </w:r>
      <w:r w:rsidRPr="009F2D60">
        <w:rPr>
          <w:rFonts w:hAnsi="ＭＳ 明朝" w:hint="eastAsia"/>
          <w:szCs w:val="24"/>
        </w:rPr>
        <w:t>％）減少している。</w:t>
      </w:r>
    </w:p>
    <w:p w:rsidR="00296E3F" w:rsidRDefault="00986458" w:rsidP="00C0188E">
      <w:pPr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C0188E">
        <w:rPr>
          <w:rFonts w:hAnsi="ＭＳ 明朝" w:hint="eastAsia"/>
          <w:szCs w:val="24"/>
        </w:rPr>
        <w:t>不納欠損額の内訳は地方税法第18条の規定(消滅時効５年間）による消滅分</w:t>
      </w:r>
    </w:p>
    <w:p w:rsidR="00296E3F" w:rsidRDefault="00296E3F" w:rsidP="00296E3F">
      <w:pPr>
        <w:spacing w:line="240" w:lineRule="auto"/>
        <w:ind w:leftChars="300" w:left="720"/>
        <w:jc w:val="distribute"/>
        <w:rPr>
          <w:rFonts w:hAnsi="ＭＳ 明朝"/>
          <w:szCs w:val="24"/>
        </w:rPr>
      </w:pPr>
      <w:r w:rsidRPr="00296E3F">
        <w:rPr>
          <w:rFonts w:hAnsi="ＭＳ 明朝" w:hint="eastAsia"/>
          <w:szCs w:val="24"/>
        </w:rPr>
        <w:t>149,666</w:t>
      </w:r>
      <w:r w:rsidR="00986458" w:rsidRPr="00296E3F">
        <w:rPr>
          <w:rFonts w:hAnsi="ＭＳ 明朝" w:hint="eastAsia"/>
          <w:szCs w:val="24"/>
        </w:rPr>
        <w:t>千円、地方税法第15条の7第4項の規定(滞納処分の執行停止が３年間継続</w:t>
      </w:r>
    </w:p>
    <w:p w:rsidR="00296E3F" w:rsidRDefault="00986458" w:rsidP="00296E3F">
      <w:pPr>
        <w:spacing w:line="240" w:lineRule="auto"/>
        <w:ind w:leftChars="300" w:left="720"/>
        <w:rPr>
          <w:rFonts w:hAnsi="ＭＳ 明朝"/>
          <w:szCs w:val="24"/>
        </w:rPr>
      </w:pPr>
      <w:r w:rsidRPr="00C0188E">
        <w:rPr>
          <w:rFonts w:hAnsi="ＭＳ 明朝" w:hint="eastAsia"/>
          <w:spacing w:val="1"/>
          <w:w w:val="96"/>
          <w:szCs w:val="24"/>
          <w:fitText w:val="8880" w:id="667689474"/>
        </w:rPr>
        <w:t>したことによる納付・納入義務消滅)による消滅分</w:t>
      </w:r>
      <w:r w:rsidR="00296E3F" w:rsidRPr="00C0188E">
        <w:rPr>
          <w:rFonts w:hAnsi="ＭＳ 明朝" w:hint="eastAsia"/>
          <w:spacing w:val="1"/>
          <w:w w:val="96"/>
          <w:szCs w:val="24"/>
          <w:fitText w:val="8880" w:id="667689474"/>
        </w:rPr>
        <w:t xml:space="preserve"> 47,632</w:t>
      </w:r>
      <w:r w:rsidRPr="00C0188E">
        <w:rPr>
          <w:rFonts w:hAnsi="ＭＳ 明朝" w:hint="eastAsia"/>
          <w:spacing w:val="1"/>
          <w:w w:val="96"/>
          <w:szCs w:val="24"/>
          <w:fitText w:val="8880" w:id="667689474"/>
        </w:rPr>
        <w:t>千円及び地方税法第15条の</w:t>
      </w:r>
      <w:r w:rsidR="007719F5" w:rsidRPr="00C0188E">
        <w:rPr>
          <w:rFonts w:hAnsi="ＭＳ 明朝" w:hint="eastAsia"/>
          <w:spacing w:val="-3"/>
          <w:w w:val="96"/>
          <w:szCs w:val="24"/>
          <w:fitText w:val="8880" w:id="667689474"/>
        </w:rPr>
        <w:t>7</w:t>
      </w:r>
    </w:p>
    <w:p w:rsidR="007719F5" w:rsidRDefault="00986458" w:rsidP="00296E3F">
      <w:pPr>
        <w:spacing w:line="240" w:lineRule="auto"/>
        <w:ind w:leftChars="300" w:left="720"/>
        <w:rPr>
          <w:rFonts w:hAnsi="ＭＳ 明朝"/>
          <w:szCs w:val="24"/>
        </w:rPr>
      </w:pPr>
      <w:r w:rsidRPr="00296E3F">
        <w:rPr>
          <w:rFonts w:hAnsi="ＭＳ 明朝" w:hint="eastAsia"/>
          <w:szCs w:val="24"/>
        </w:rPr>
        <w:t>第5項の規定（即時消滅）による消滅分</w:t>
      </w:r>
      <w:r w:rsidR="00296E3F" w:rsidRPr="00296E3F">
        <w:rPr>
          <w:rFonts w:hAnsi="ＭＳ 明朝" w:hint="eastAsia"/>
          <w:szCs w:val="24"/>
        </w:rPr>
        <w:t>41,441</w:t>
      </w:r>
      <w:r w:rsidRPr="00296E3F">
        <w:rPr>
          <w:rFonts w:hAnsi="ＭＳ 明朝" w:hint="eastAsia"/>
          <w:szCs w:val="24"/>
        </w:rPr>
        <w:t>千円であった。</w:t>
      </w:r>
    </w:p>
    <w:p w:rsidR="00986458" w:rsidRPr="00A60D53" w:rsidRDefault="00986458" w:rsidP="007719F5">
      <w:pPr>
        <w:spacing w:line="240" w:lineRule="auto"/>
        <w:ind w:leftChars="300" w:left="720" w:firstLineChars="100" w:firstLine="235"/>
        <w:rPr>
          <w:rFonts w:hAnsi="ＭＳ 明朝"/>
          <w:szCs w:val="24"/>
        </w:rPr>
      </w:pPr>
      <w:r w:rsidRPr="007719F5">
        <w:rPr>
          <w:rFonts w:hAnsi="ＭＳ 明朝" w:hint="eastAsia"/>
          <w:spacing w:val="1"/>
          <w:w w:val="97"/>
          <w:szCs w:val="24"/>
          <w:fitText w:val="8640" w:id="667689728"/>
        </w:rPr>
        <w:t>不納欠損の理由は無財産、生活困窮及び行方不明などであり、この処分について</w:t>
      </w:r>
      <w:r w:rsidRPr="007719F5">
        <w:rPr>
          <w:rFonts w:hAnsi="ＭＳ 明朝" w:hint="eastAsia"/>
          <w:spacing w:val="-17"/>
          <w:w w:val="97"/>
          <w:szCs w:val="24"/>
          <w:fitText w:val="8640" w:id="667689728"/>
        </w:rPr>
        <w:t>は</w:t>
      </w:r>
      <w:r w:rsidRPr="00A60D53">
        <w:rPr>
          <w:rFonts w:hAnsi="ＭＳ 明朝" w:hint="eastAsia"/>
          <w:szCs w:val="24"/>
        </w:rPr>
        <w:t>やむを得ない措置と認められた。</w:t>
      </w:r>
    </w:p>
    <w:p w:rsidR="003C5F70" w:rsidRPr="00050BFC" w:rsidRDefault="003C5F70" w:rsidP="00986458">
      <w:pPr>
        <w:spacing w:line="240" w:lineRule="auto"/>
        <w:rPr>
          <w:rFonts w:hAnsi="ＭＳ 明朝"/>
          <w:color w:val="FF0000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D21795" w:rsidRPr="00986458" w:rsidRDefault="00D21795" w:rsidP="00986458">
      <w:pPr>
        <w:spacing w:line="240" w:lineRule="auto"/>
        <w:rPr>
          <w:rFonts w:hAnsi="ＭＳ 明朝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B00378" w:rsidRPr="00986458" w:rsidRDefault="00B00378" w:rsidP="00986458">
      <w:pPr>
        <w:spacing w:line="240" w:lineRule="auto"/>
        <w:rPr>
          <w:rFonts w:hAnsi="ＭＳ 明朝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Pr="007D5C91" w:rsidRDefault="007D5C91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lastRenderedPageBreak/>
        <w:t xml:space="preserve">　</w:t>
      </w:r>
      <w:r w:rsidRPr="007D5C91">
        <w:rPr>
          <w:rFonts w:ascii="ＭＳ ゴシック" w:eastAsia="ＭＳ ゴシック" w:hAnsi="ＭＳ ゴシック" w:hint="eastAsia"/>
          <w:szCs w:val="24"/>
        </w:rPr>
        <w:t>市税収入状況</w:t>
      </w:r>
    </w:p>
    <w:p w:rsidR="007D5C91" w:rsidRDefault="007D5C91" w:rsidP="00EC52A5">
      <w:pPr>
        <w:spacing w:line="240" w:lineRule="auto"/>
        <w:ind w:firstLineChars="3100" w:firstLine="744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（単位：千円・％）</w:t>
      </w:r>
    </w:p>
    <w:bookmarkStart w:id="3" w:name="_MON_1438759766"/>
    <w:bookmarkEnd w:id="3"/>
    <w:p w:rsidR="007D5C91" w:rsidRDefault="00E0211D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8976" w:dyaOrig="6126">
          <v:shape id="_x0000_i1028" type="#_x0000_t75" style="width:481.5pt;height:319.5pt" o:ole="">
            <v:imagedata r:id="rId14" o:title=""/>
          </v:shape>
          <o:OLEObject Type="Embed" ProgID="Excel.Sheet.12" ShapeID="_x0000_i1028" DrawAspect="Content" ObjectID="_1470661845" r:id="rId15"/>
        </w:object>
      </w:r>
    </w:p>
    <w:p w:rsidR="007D5C91" w:rsidRDefault="007D5C91" w:rsidP="00986458">
      <w:pPr>
        <w:spacing w:line="240" w:lineRule="auto"/>
        <w:rPr>
          <w:rFonts w:hAnsi="ＭＳ 明朝"/>
          <w:szCs w:val="24"/>
        </w:rPr>
      </w:pPr>
    </w:p>
    <w:p w:rsidR="007D5C91" w:rsidRPr="00EC52A5" w:rsidRDefault="00EC52A5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Pr="00EC52A5">
        <w:rPr>
          <w:rFonts w:ascii="ＭＳ ゴシック" w:eastAsia="ＭＳ ゴシック" w:hAnsi="ＭＳ ゴシック" w:hint="eastAsia"/>
          <w:szCs w:val="24"/>
        </w:rPr>
        <w:t>市税現年課税分・滞納繰越分別収入状況</w:t>
      </w:r>
    </w:p>
    <w:p w:rsidR="007D5C91" w:rsidRDefault="00EC52A5" w:rsidP="001E7CE8">
      <w:pPr>
        <w:spacing w:line="240" w:lineRule="auto"/>
        <w:ind w:firstLineChars="3100" w:firstLine="744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（単位：千円・％）</w:t>
      </w:r>
    </w:p>
    <w:bookmarkStart w:id="4" w:name="_MON_1438768279"/>
    <w:bookmarkEnd w:id="4"/>
    <w:p w:rsidR="007D5C91" w:rsidRDefault="00E0211D" w:rsidP="001E7CE8">
      <w:pPr>
        <w:spacing w:line="240" w:lineRule="auto"/>
        <w:ind w:left="240" w:hangingChars="100" w:hanging="240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10124" w:dyaOrig="4574">
          <v:shape id="_x0000_i1029" type="#_x0000_t75" style="width:481.5pt;height:3in" o:ole="">
            <v:imagedata r:id="rId16" o:title=""/>
          </v:shape>
          <o:OLEObject Type="Embed" ProgID="Excel.Sheet.12" ShapeID="_x0000_i1029" DrawAspect="Content" ObjectID="_1470661846" r:id="rId17"/>
        </w:object>
      </w:r>
      <w:r w:rsidR="001E7CE8" w:rsidRPr="00F0160F">
        <w:rPr>
          <w:rFonts w:hAnsi="ＭＳ 明朝" w:hint="eastAsia"/>
          <w:sz w:val="20"/>
        </w:rPr>
        <w:t>(注)「収入済額」欄中の（　）内は、「収入済額」に含まれる還付未了額である。</w:t>
      </w:r>
    </w:p>
    <w:p w:rsidR="007D5C91" w:rsidRDefault="007D5C91" w:rsidP="00986458">
      <w:pPr>
        <w:spacing w:line="240" w:lineRule="auto"/>
        <w:rPr>
          <w:rFonts w:hAnsi="ＭＳ 明朝"/>
          <w:szCs w:val="24"/>
        </w:rPr>
      </w:pPr>
    </w:p>
    <w:p w:rsidR="000620FC" w:rsidRDefault="000620FC" w:rsidP="00986458">
      <w:pPr>
        <w:spacing w:line="240" w:lineRule="auto"/>
        <w:rPr>
          <w:rFonts w:hAnsi="ＭＳ 明朝"/>
          <w:szCs w:val="24"/>
        </w:rPr>
      </w:pPr>
    </w:p>
    <w:p w:rsidR="00B93D5A" w:rsidRDefault="00B93D5A" w:rsidP="00986458">
      <w:pPr>
        <w:spacing w:line="240" w:lineRule="auto"/>
        <w:rPr>
          <w:rFonts w:hAnsi="ＭＳ 明朝"/>
          <w:szCs w:val="24"/>
        </w:rPr>
      </w:pPr>
    </w:p>
    <w:p w:rsidR="007D5C91" w:rsidRPr="001E7CE8" w:rsidRDefault="001E7CE8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lastRenderedPageBreak/>
        <w:t xml:space="preserve">　</w:t>
      </w:r>
      <w:r w:rsidRPr="001E7CE8">
        <w:rPr>
          <w:rFonts w:ascii="ＭＳ ゴシック" w:eastAsia="ＭＳ ゴシック" w:hAnsi="ＭＳ ゴシック" w:hint="eastAsia"/>
          <w:szCs w:val="24"/>
        </w:rPr>
        <w:t>市税収入未済額状況</w:t>
      </w:r>
    </w:p>
    <w:p w:rsidR="007D5C91" w:rsidRDefault="001E7CE8" w:rsidP="002959FA">
      <w:pPr>
        <w:spacing w:line="240" w:lineRule="auto"/>
        <w:ind w:firstLineChars="3100" w:firstLine="744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（単位：千円・％）</w:t>
      </w:r>
    </w:p>
    <w:bookmarkStart w:id="5" w:name="_MON_1438769903"/>
    <w:bookmarkEnd w:id="5"/>
    <w:p w:rsidR="007D5C91" w:rsidRDefault="00BC04D0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8202" w:dyaOrig="6693">
          <v:shape id="_x0000_i1030" type="#_x0000_t75" style="width:479.25pt;height:348.75pt" o:ole="">
            <v:imagedata r:id="rId18" o:title=""/>
          </v:shape>
          <o:OLEObject Type="Embed" ProgID="Excel.Sheet.12" ShapeID="_x0000_i1030" DrawAspect="Content" ObjectID="_1470661847" r:id="rId19"/>
        </w:object>
      </w:r>
    </w:p>
    <w:p w:rsidR="007D5C91" w:rsidRDefault="007D5C91" w:rsidP="00986458">
      <w:pPr>
        <w:spacing w:line="240" w:lineRule="auto"/>
        <w:rPr>
          <w:rFonts w:hAnsi="ＭＳ 明朝"/>
          <w:szCs w:val="24"/>
        </w:rPr>
      </w:pPr>
    </w:p>
    <w:p w:rsidR="007D5C91" w:rsidRDefault="007D5C91" w:rsidP="00986458">
      <w:pPr>
        <w:spacing w:line="240" w:lineRule="auto"/>
        <w:rPr>
          <w:rFonts w:hAnsi="ＭＳ 明朝"/>
          <w:szCs w:val="24"/>
        </w:rPr>
      </w:pPr>
    </w:p>
    <w:p w:rsidR="007D5C91" w:rsidRPr="002959FA" w:rsidRDefault="002959FA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Pr="002959FA">
        <w:rPr>
          <w:rFonts w:ascii="ＭＳ ゴシック" w:eastAsia="ＭＳ ゴシック" w:hAnsi="ＭＳ ゴシック" w:hint="eastAsia"/>
          <w:szCs w:val="24"/>
        </w:rPr>
        <w:t>市税不納欠損処分状況</w:t>
      </w:r>
    </w:p>
    <w:p w:rsidR="002959FA" w:rsidRDefault="002959FA" w:rsidP="009136B9">
      <w:pPr>
        <w:spacing w:line="240" w:lineRule="auto"/>
        <w:ind w:firstLineChars="3100" w:firstLine="744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（単位：千円・％）</w:t>
      </w:r>
    </w:p>
    <w:bookmarkStart w:id="6" w:name="_MON_1438771912"/>
    <w:bookmarkEnd w:id="6"/>
    <w:p w:rsidR="002959FA" w:rsidRDefault="00EC5C6E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10075" w:dyaOrig="4084">
          <v:shape id="_x0000_i1031" type="#_x0000_t75" style="width:480pt;height:205.5pt" o:ole="">
            <v:imagedata r:id="rId20" o:title=""/>
          </v:shape>
          <o:OLEObject Type="Embed" ProgID="Excel.Sheet.12" ShapeID="_x0000_i1031" DrawAspect="Content" ObjectID="_1470661848" r:id="rId21"/>
        </w:object>
      </w:r>
    </w:p>
    <w:p w:rsidR="002959FA" w:rsidRDefault="002959FA" w:rsidP="00986458">
      <w:pPr>
        <w:spacing w:line="240" w:lineRule="auto"/>
        <w:rPr>
          <w:rFonts w:hAnsi="ＭＳ 明朝"/>
          <w:szCs w:val="24"/>
        </w:rPr>
      </w:pPr>
    </w:p>
    <w:p w:rsidR="009136B9" w:rsidRPr="009136B9" w:rsidRDefault="009136B9" w:rsidP="009136B9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9136B9">
        <w:rPr>
          <w:rFonts w:ascii="ＭＳ ゴシック" w:eastAsia="ＭＳ ゴシック" w:hAnsi="ＭＳ ゴシック" w:hint="eastAsia"/>
          <w:szCs w:val="24"/>
        </w:rPr>
        <w:lastRenderedPageBreak/>
        <w:t xml:space="preserve">⑶　</w:t>
      </w:r>
      <w:r w:rsidRPr="009136B9">
        <w:rPr>
          <w:rFonts w:ascii="ＭＳ ゴシック" w:eastAsia="ＭＳ ゴシック" w:hAnsi="ＭＳ ゴシック" w:hint="eastAsia"/>
          <w:snapToGrid w:val="0"/>
          <w:szCs w:val="24"/>
        </w:rPr>
        <w:t>市債の状況</w:t>
      </w:r>
    </w:p>
    <w:p w:rsidR="002574A7" w:rsidRDefault="009136B9" w:rsidP="002574A7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77289F">
        <w:rPr>
          <w:rFonts w:hAnsi="ＭＳ 明朝" w:hint="eastAsia"/>
          <w:szCs w:val="24"/>
        </w:rPr>
        <w:t>一般会計の当年度の市債発行額は</w:t>
      </w:r>
      <w:r w:rsidR="0077289F" w:rsidRPr="0077289F">
        <w:rPr>
          <w:rFonts w:hAnsi="ＭＳ 明朝" w:hint="eastAsia"/>
          <w:szCs w:val="24"/>
        </w:rPr>
        <w:t>13,</w:t>
      </w:r>
      <w:r w:rsidRPr="0077289F">
        <w:rPr>
          <w:rFonts w:hAnsi="ＭＳ 明朝" w:hint="eastAsia"/>
          <w:szCs w:val="24"/>
        </w:rPr>
        <w:t>6</w:t>
      </w:r>
      <w:r w:rsidR="0077289F" w:rsidRPr="0077289F">
        <w:rPr>
          <w:rFonts w:hAnsi="ＭＳ 明朝" w:hint="eastAsia"/>
          <w:szCs w:val="24"/>
        </w:rPr>
        <w:t>2</w:t>
      </w:r>
      <w:r w:rsidRPr="0077289F">
        <w:rPr>
          <w:rFonts w:hAnsi="ＭＳ 明朝" w:hint="eastAsia"/>
          <w:szCs w:val="24"/>
        </w:rPr>
        <w:t>9,</w:t>
      </w:r>
      <w:r w:rsidR="0077289F" w:rsidRPr="0077289F">
        <w:rPr>
          <w:rFonts w:hAnsi="ＭＳ 明朝" w:hint="eastAsia"/>
          <w:szCs w:val="24"/>
        </w:rPr>
        <w:t>6</w:t>
      </w:r>
      <w:r w:rsidRPr="0077289F">
        <w:rPr>
          <w:rFonts w:hAnsi="ＭＳ 明朝" w:hint="eastAsia"/>
          <w:szCs w:val="24"/>
        </w:rPr>
        <w:t>00千円で、前年度に比べ</w:t>
      </w:r>
      <w:r w:rsidR="0077289F" w:rsidRPr="0077289F">
        <w:rPr>
          <w:rFonts w:hAnsi="ＭＳ 明朝" w:hint="eastAsia"/>
          <w:szCs w:val="24"/>
        </w:rPr>
        <w:t>2,260,200</w:t>
      </w:r>
      <w:r w:rsidRPr="0077289F">
        <w:rPr>
          <w:rFonts w:hAnsi="ＭＳ 明朝" w:hint="eastAsia"/>
          <w:szCs w:val="24"/>
        </w:rPr>
        <w:t>千円</w:t>
      </w:r>
      <w:r w:rsidR="0077289F" w:rsidRPr="0077289F">
        <w:rPr>
          <w:rFonts w:hAnsi="ＭＳ 明朝" w:hint="eastAsia"/>
          <w:szCs w:val="24"/>
        </w:rPr>
        <w:t>(19.9</w:t>
      </w:r>
      <w:r w:rsidRPr="0077289F">
        <w:rPr>
          <w:rFonts w:hAnsi="ＭＳ 明朝" w:hint="eastAsia"/>
          <w:szCs w:val="24"/>
        </w:rPr>
        <w:t>％)増加している。歳入に占める割合は</w:t>
      </w:r>
      <w:r w:rsidR="0077289F" w:rsidRPr="0077289F">
        <w:rPr>
          <w:rFonts w:hAnsi="ＭＳ 明朝" w:hint="eastAsia"/>
          <w:szCs w:val="24"/>
        </w:rPr>
        <w:t>16.3</w:t>
      </w:r>
      <w:r w:rsidRPr="0077289F">
        <w:rPr>
          <w:rFonts w:hAnsi="ＭＳ 明朝" w:hint="eastAsia"/>
          <w:szCs w:val="24"/>
        </w:rPr>
        <w:t>％で前年度より</w:t>
      </w:r>
      <w:r w:rsidR="0077289F" w:rsidRPr="0077289F">
        <w:rPr>
          <w:rFonts w:hAnsi="ＭＳ 明朝" w:hint="eastAsia"/>
          <w:szCs w:val="24"/>
        </w:rPr>
        <w:t>0.6</w:t>
      </w:r>
      <w:r w:rsidRPr="0077289F">
        <w:rPr>
          <w:rFonts w:hAnsi="ＭＳ 明朝" w:hint="eastAsia"/>
          <w:szCs w:val="24"/>
        </w:rPr>
        <w:t>ポイント上昇</w:t>
      </w:r>
    </w:p>
    <w:p w:rsidR="009136B9" w:rsidRPr="0077289F" w:rsidRDefault="009136B9" w:rsidP="002574A7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77289F">
        <w:rPr>
          <w:rFonts w:hAnsi="ＭＳ 明朝" w:hint="eastAsia"/>
          <w:szCs w:val="24"/>
        </w:rPr>
        <w:t>している。</w:t>
      </w:r>
    </w:p>
    <w:p w:rsidR="004F1A37" w:rsidRDefault="0077289F" w:rsidP="00D23C54">
      <w:pPr>
        <w:kinsoku w:val="0"/>
        <w:overflowPunct w:val="0"/>
        <w:snapToGrid w:val="0"/>
        <w:spacing w:line="240" w:lineRule="auto"/>
        <w:ind w:leftChars="300" w:left="720" w:firstLineChars="100" w:firstLine="222"/>
        <w:jc w:val="distribute"/>
        <w:rPr>
          <w:rFonts w:hAnsi="ＭＳ 明朝"/>
          <w:szCs w:val="24"/>
        </w:rPr>
      </w:pPr>
      <w:r w:rsidRPr="00D23C54">
        <w:rPr>
          <w:rFonts w:hAnsi="ＭＳ 明朝" w:hint="eastAsia"/>
          <w:spacing w:val="2"/>
          <w:w w:val="91"/>
          <w:szCs w:val="24"/>
          <w:fitText w:val="8611" w:id="671826688"/>
        </w:rPr>
        <w:t>これは主に</w:t>
      </w:r>
      <w:r w:rsidR="004F1A37" w:rsidRPr="00D23C54">
        <w:rPr>
          <w:rFonts w:hAnsi="ＭＳ 明朝" w:hint="eastAsia"/>
          <w:spacing w:val="2"/>
          <w:w w:val="91"/>
          <w:szCs w:val="24"/>
          <w:fitText w:val="8611" w:id="671826688"/>
        </w:rPr>
        <w:t>、</w:t>
      </w:r>
      <w:r w:rsidRPr="00D23C54">
        <w:rPr>
          <w:rFonts w:hAnsi="ＭＳ 明朝" w:hint="eastAsia"/>
          <w:spacing w:val="2"/>
          <w:w w:val="91"/>
          <w:szCs w:val="24"/>
          <w:fitText w:val="8611" w:id="671826688"/>
        </w:rPr>
        <w:t>総務</w:t>
      </w:r>
      <w:r w:rsidR="009136B9" w:rsidRPr="00D23C54">
        <w:rPr>
          <w:rFonts w:hAnsi="ＭＳ 明朝" w:hint="eastAsia"/>
          <w:spacing w:val="2"/>
          <w:w w:val="91"/>
          <w:szCs w:val="24"/>
          <w:fitText w:val="8611" w:id="671826688"/>
        </w:rPr>
        <w:t>債で</w:t>
      </w:r>
      <w:r w:rsidRPr="00D23C54">
        <w:rPr>
          <w:rFonts w:hAnsi="ＭＳ 明朝" w:hint="eastAsia"/>
          <w:spacing w:val="2"/>
          <w:w w:val="91"/>
          <w:szCs w:val="24"/>
          <w:fitText w:val="8611" w:id="671826688"/>
        </w:rPr>
        <w:t>519,8</w:t>
      </w:r>
      <w:r w:rsidR="009136B9" w:rsidRPr="00D23C54">
        <w:rPr>
          <w:rFonts w:hAnsi="ＭＳ 明朝" w:hint="eastAsia"/>
          <w:spacing w:val="2"/>
          <w:w w:val="91"/>
          <w:szCs w:val="24"/>
          <w:fitText w:val="8611" w:id="671826688"/>
        </w:rPr>
        <w:t>00</w:t>
      </w:r>
      <w:r w:rsidR="002574A7" w:rsidRPr="00D23C54">
        <w:rPr>
          <w:rFonts w:hAnsi="ＭＳ 明朝" w:hint="eastAsia"/>
          <w:spacing w:val="2"/>
          <w:w w:val="91"/>
          <w:szCs w:val="24"/>
          <w:fitText w:val="8611" w:id="671826688"/>
        </w:rPr>
        <w:t>千円(</w:t>
      </w:r>
      <w:r w:rsidR="009136B9" w:rsidRPr="00D23C54">
        <w:rPr>
          <w:rFonts w:hAnsi="ＭＳ 明朝" w:hint="eastAsia"/>
          <w:spacing w:val="2"/>
          <w:w w:val="91"/>
          <w:szCs w:val="24"/>
          <w:fitText w:val="8611" w:id="671826688"/>
        </w:rPr>
        <w:t>△</w:t>
      </w:r>
      <w:r w:rsidRPr="00D23C54">
        <w:rPr>
          <w:rFonts w:hAnsi="ＭＳ 明朝" w:hint="eastAsia"/>
          <w:spacing w:val="2"/>
          <w:w w:val="91"/>
          <w:szCs w:val="24"/>
          <w:fitText w:val="8611" w:id="671826688"/>
        </w:rPr>
        <w:t>48.7</w:t>
      </w:r>
      <w:r w:rsidR="002574A7" w:rsidRPr="00D23C54">
        <w:rPr>
          <w:rFonts w:hAnsi="ＭＳ 明朝" w:hint="eastAsia"/>
          <w:spacing w:val="2"/>
          <w:w w:val="91"/>
          <w:szCs w:val="24"/>
          <w:fitText w:val="8611" w:id="671826688"/>
        </w:rPr>
        <w:t>％)</w:t>
      </w:r>
      <w:r w:rsidR="009136B9" w:rsidRPr="00D23C54">
        <w:rPr>
          <w:rFonts w:hAnsi="ＭＳ 明朝" w:hint="eastAsia"/>
          <w:spacing w:val="2"/>
          <w:w w:val="91"/>
          <w:szCs w:val="24"/>
          <w:fitText w:val="8611" w:id="671826688"/>
        </w:rPr>
        <w:t>減少したものの、</w:t>
      </w:r>
      <w:r w:rsidRPr="00D23C54">
        <w:rPr>
          <w:rFonts w:hAnsi="ＭＳ 明朝" w:hint="eastAsia"/>
          <w:spacing w:val="2"/>
          <w:w w:val="91"/>
          <w:szCs w:val="24"/>
          <w:fitText w:val="8611" w:id="671826688"/>
        </w:rPr>
        <w:t>土木</w:t>
      </w:r>
      <w:r w:rsidR="009136B9" w:rsidRPr="00D23C54">
        <w:rPr>
          <w:rFonts w:hAnsi="ＭＳ 明朝" w:hint="eastAsia"/>
          <w:spacing w:val="2"/>
          <w:w w:val="91"/>
          <w:szCs w:val="24"/>
          <w:fitText w:val="8611" w:id="671826688"/>
        </w:rPr>
        <w:t>債で</w:t>
      </w:r>
      <w:r w:rsidRPr="00D23C54">
        <w:rPr>
          <w:rFonts w:hAnsi="ＭＳ 明朝" w:hint="eastAsia"/>
          <w:spacing w:val="2"/>
          <w:w w:val="91"/>
          <w:szCs w:val="24"/>
          <w:fitText w:val="8611" w:id="671826688"/>
        </w:rPr>
        <w:t>1,950,900</w:t>
      </w:r>
      <w:r w:rsidR="002574A7" w:rsidRPr="00D23C54">
        <w:rPr>
          <w:rFonts w:hAnsi="ＭＳ 明朝" w:hint="eastAsia"/>
          <w:spacing w:val="2"/>
          <w:w w:val="91"/>
          <w:szCs w:val="24"/>
          <w:fitText w:val="8611" w:id="671826688"/>
        </w:rPr>
        <w:t>千</w:t>
      </w:r>
      <w:r w:rsidR="002574A7" w:rsidRPr="00D23C54">
        <w:rPr>
          <w:rFonts w:hAnsi="ＭＳ 明朝" w:hint="eastAsia"/>
          <w:spacing w:val="-11"/>
          <w:w w:val="91"/>
          <w:szCs w:val="24"/>
          <w:fitText w:val="8611" w:id="671826688"/>
        </w:rPr>
        <w:t>円</w:t>
      </w:r>
      <w:r w:rsidR="002574A7">
        <w:rPr>
          <w:rFonts w:hAnsi="ＭＳ 明朝" w:hint="eastAsia"/>
          <w:szCs w:val="24"/>
        </w:rPr>
        <w:t>(</w:t>
      </w:r>
      <w:r w:rsidRPr="00F45180">
        <w:rPr>
          <w:rFonts w:hAnsi="ＭＳ 明朝" w:hint="eastAsia"/>
          <w:szCs w:val="24"/>
        </w:rPr>
        <w:t>45.0</w:t>
      </w:r>
      <w:r w:rsidR="002574A7">
        <w:rPr>
          <w:rFonts w:hAnsi="ＭＳ 明朝" w:hint="eastAsia"/>
          <w:szCs w:val="24"/>
        </w:rPr>
        <w:t>％)</w:t>
      </w:r>
      <w:r w:rsidR="009136B9" w:rsidRPr="00F45180">
        <w:rPr>
          <w:rFonts w:hAnsi="ＭＳ 明朝" w:hint="eastAsia"/>
          <w:szCs w:val="24"/>
        </w:rPr>
        <w:t>、教育債で</w:t>
      </w:r>
      <w:r w:rsidR="00F45180" w:rsidRPr="00F45180">
        <w:rPr>
          <w:rFonts w:hAnsi="ＭＳ 明朝" w:hint="eastAsia"/>
          <w:szCs w:val="24"/>
        </w:rPr>
        <w:t>473,3</w:t>
      </w:r>
      <w:r w:rsidR="009136B9" w:rsidRPr="00F45180">
        <w:rPr>
          <w:rFonts w:hAnsi="ＭＳ 明朝" w:hint="eastAsia"/>
          <w:szCs w:val="24"/>
        </w:rPr>
        <w:t>00</w:t>
      </w:r>
      <w:r w:rsidR="002574A7">
        <w:rPr>
          <w:rFonts w:hAnsi="ＭＳ 明朝" w:hint="eastAsia"/>
          <w:szCs w:val="24"/>
        </w:rPr>
        <w:t>千円(</w:t>
      </w:r>
      <w:r w:rsidR="00F45180" w:rsidRPr="00F45180">
        <w:rPr>
          <w:rFonts w:hAnsi="ＭＳ 明朝" w:hint="eastAsia"/>
          <w:szCs w:val="24"/>
        </w:rPr>
        <w:t>26.0</w:t>
      </w:r>
      <w:r w:rsidR="002574A7">
        <w:rPr>
          <w:rFonts w:hAnsi="ＭＳ 明朝" w:hint="eastAsia"/>
          <w:szCs w:val="24"/>
        </w:rPr>
        <w:t>％)</w:t>
      </w:r>
      <w:r w:rsidR="009136B9" w:rsidRPr="00F45180">
        <w:rPr>
          <w:rFonts w:hAnsi="ＭＳ 明朝" w:hint="eastAsia"/>
          <w:szCs w:val="24"/>
        </w:rPr>
        <w:t>、</w:t>
      </w:r>
      <w:r w:rsidR="00F45180" w:rsidRPr="00F45180">
        <w:rPr>
          <w:rFonts w:hAnsi="ＭＳ 明朝" w:hint="eastAsia"/>
          <w:szCs w:val="24"/>
        </w:rPr>
        <w:t>商工</w:t>
      </w:r>
      <w:r w:rsidR="009136B9" w:rsidRPr="00F45180">
        <w:rPr>
          <w:rFonts w:hAnsi="ＭＳ 明朝" w:hint="eastAsia"/>
          <w:szCs w:val="24"/>
        </w:rPr>
        <w:t>債で</w:t>
      </w:r>
      <w:r w:rsidR="00F45180" w:rsidRPr="00F45180">
        <w:rPr>
          <w:rFonts w:hAnsi="ＭＳ 明朝" w:hint="eastAsia"/>
          <w:szCs w:val="24"/>
        </w:rPr>
        <w:t>115,8</w:t>
      </w:r>
      <w:r w:rsidR="009136B9" w:rsidRPr="00F45180">
        <w:rPr>
          <w:rFonts w:hAnsi="ＭＳ 明朝" w:hint="eastAsia"/>
          <w:szCs w:val="24"/>
        </w:rPr>
        <w:t>00</w:t>
      </w:r>
      <w:r w:rsidR="002574A7">
        <w:rPr>
          <w:rFonts w:hAnsi="ＭＳ 明朝" w:hint="eastAsia"/>
          <w:szCs w:val="24"/>
        </w:rPr>
        <w:t>千円(</w:t>
      </w:r>
      <w:r w:rsidR="00F45180" w:rsidRPr="00F45180">
        <w:rPr>
          <w:rFonts w:hAnsi="ＭＳ 明朝" w:hint="eastAsia"/>
          <w:szCs w:val="24"/>
        </w:rPr>
        <w:t>3,860.0</w:t>
      </w:r>
      <w:r w:rsidR="002574A7">
        <w:rPr>
          <w:rFonts w:hAnsi="ＭＳ 明朝" w:hint="eastAsia"/>
          <w:szCs w:val="24"/>
        </w:rPr>
        <w:t>％)</w:t>
      </w:r>
      <w:r w:rsidR="004F1A37">
        <w:rPr>
          <w:rFonts w:hAnsi="ＭＳ 明朝" w:hint="eastAsia"/>
          <w:szCs w:val="24"/>
        </w:rPr>
        <w:t>と</w:t>
      </w:r>
    </w:p>
    <w:p w:rsidR="009136B9" w:rsidRPr="00F45180" w:rsidRDefault="009136B9" w:rsidP="00FC2D0F">
      <w:pPr>
        <w:kinsoku w:val="0"/>
        <w:overflowPunct w:val="0"/>
        <w:snapToGrid w:val="0"/>
        <w:spacing w:line="240" w:lineRule="auto"/>
        <w:ind w:firstLineChars="300" w:firstLine="720"/>
        <w:jc w:val="left"/>
        <w:rPr>
          <w:rFonts w:hAnsi="ＭＳ 明朝"/>
          <w:szCs w:val="24"/>
        </w:rPr>
      </w:pPr>
      <w:r w:rsidRPr="00F45180">
        <w:rPr>
          <w:rFonts w:hAnsi="ＭＳ 明朝" w:hint="eastAsia"/>
          <w:szCs w:val="24"/>
        </w:rPr>
        <w:t>それぞれ増加したことによるものである。</w:t>
      </w:r>
    </w:p>
    <w:p w:rsidR="002574A7" w:rsidRDefault="009136B9" w:rsidP="005C4897">
      <w:pPr>
        <w:kinsoku w:val="0"/>
        <w:overflowPunct w:val="0"/>
        <w:snapToGrid w:val="0"/>
        <w:spacing w:line="240" w:lineRule="auto"/>
        <w:ind w:leftChars="200" w:left="480" w:firstLineChars="200" w:firstLine="469"/>
        <w:rPr>
          <w:rFonts w:hAnsi="ＭＳ 明朝"/>
          <w:szCs w:val="24"/>
        </w:rPr>
      </w:pPr>
      <w:r w:rsidRPr="005C4897">
        <w:rPr>
          <w:rFonts w:hAnsi="ＭＳ 明朝" w:hint="eastAsia"/>
          <w:w w:val="98"/>
          <w:szCs w:val="24"/>
          <w:fitText w:val="8728" w:id="670185472"/>
        </w:rPr>
        <w:t>また、当年度末現在高は</w:t>
      </w:r>
      <w:r w:rsidR="002574A7" w:rsidRPr="005C4897">
        <w:rPr>
          <w:rFonts w:hAnsi="ＭＳ 明朝" w:hint="eastAsia"/>
          <w:w w:val="98"/>
          <w:szCs w:val="24"/>
          <w:fitText w:val="8728" w:id="670185472"/>
        </w:rPr>
        <w:t>103,133,522</w:t>
      </w:r>
      <w:r w:rsidRPr="005C4897">
        <w:rPr>
          <w:rFonts w:hAnsi="ＭＳ 明朝" w:hint="eastAsia"/>
          <w:w w:val="98"/>
          <w:szCs w:val="24"/>
          <w:fitText w:val="8728" w:id="670185472"/>
        </w:rPr>
        <w:t>千円で、前年度末現在高に比べ</w:t>
      </w:r>
      <w:r w:rsidR="002574A7" w:rsidRPr="005C4897">
        <w:rPr>
          <w:rFonts w:hAnsi="ＭＳ 明朝" w:hint="eastAsia"/>
          <w:w w:val="98"/>
          <w:szCs w:val="24"/>
          <w:fitText w:val="8728" w:id="670185472"/>
        </w:rPr>
        <w:t>5,864,337千</w:t>
      </w:r>
      <w:r w:rsidR="002574A7" w:rsidRPr="005C4897">
        <w:rPr>
          <w:rFonts w:hAnsi="ＭＳ 明朝" w:hint="eastAsia"/>
          <w:spacing w:val="28"/>
          <w:w w:val="98"/>
          <w:szCs w:val="24"/>
          <w:fitText w:val="8728" w:id="670185472"/>
        </w:rPr>
        <w:t>円</w:t>
      </w:r>
    </w:p>
    <w:p w:rsidR="009136B9" w:rsidRPr="002574A7" w:rsidRDefault="002574A7" w:rsidP="002574A7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(</w:t>
      </w:r>
      <w:r w:rsidRPr="002574A7">
        <w:rPr>
          <w:rFonts w:hAnsi="ＭＳ 明朝" w:hint="eastAsia"/>
          <w:szCs w:val="24"/>
        </w:rPr>
        <w:t>6.0</w:t>
      </w:r>
      <w:r w:rsidR="009136B9" w:rsidRPr="002574A7">
        <w:rPr>
          <w:rFonts w:hAnsi="ＭＳ 明朝" w:hint="eastAsia"/>
          <w:szCs w:val="24"/>
        </w:rPr>
        <w:t>％</w:t>
      </w:r>
      <w:r>
        <w:rPr>
          <w:rFonts w:hAnsi="ＭＳ 明朝" w:hint="eastAsia"/>
          <w:szCs w:val="24"/>
        </w:rPr>
        <w:t>)</w:t>
      </w:r>
      <w:r w:rsidR="009136B9" w:rsidRPr="002574A7">
        <w:rPr>
          <w:rFonts w:hAnsi="ＭＳ 明朝" w:hint="eastAsia"/>
          <w:szCs w:val="24"/>
        </w:rPr>
        <w:t>増加している。</w:t>
      </w:r>
    </w:p>
    <w:p w:rsidR="009136B9" w:rsidRPr="002574A7" w:rsidRDefault="009136B9" w:rsidP="009136B9">
      <w:pPr>
        <w:spacing w:line="240" w:lineRule="auto"/>
        <w:rPr>
          <w:rFonts w:hAnsi="ＭＳ 明朝"/>
          <w:szCs w:val="24"/>
        </w:rPr>
      </w:pPr>
    </w:p>
    <w:p w:rsidR="009136B9" w:rsidRDefault="009136B9" w:rsidP="00986458">
      <w:pPr>
        <w:spacing w:line="240" w:lineRule="auto"/>
        <w:rPr>
          <w:rFonts w:hAnsi="ＭＳ 明朝"/>
          <w:szCs w:val="24"/>
        </w:rPr>
      </w:pPr>
    </w:p>
    <w:p w:rsidR="009136B9" w:rsidRPr="00E6241F" w:rsidRDefault="00E6241F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Pr="00E6241F">
        <w:rPr>
          <w:rFonts w:ascii="ＭＳ ゴシック" w:eastAsia="ＭＳ ゴシック" w:hAnsi="ＭＳ ゴシック" w:hint="eastAsia"/>
          <w:szCs w:val="24"/>
        </w:rPr>
        <w:t>市債発行状況</w:t>
      </w:r>
    </w:p>
    <w:p w:rsidR="009136B9" w:rsidRDefault="00E6241F" w:rsidP="00251B0A">
      <w:pPr>
        <w:spacing w:line="240" w:lineRule="auto"/>
        <w:ind w:firstLineChars="3100" w:firstLine="744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（単位：千円・％）</w:t>
      </w:r>
    </w:p>
    <w:bookmarkStart w:id="7" w:name="_MON_1438774766"/>
    <w:bookmarkEnd w:id="7"/>
    <w:p w:rsidR="007D5C91" w:rsidRDefault="00AF0D08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9679" w:dyaOrig="7240">
          <v:shape id="_x0000_i1032" type="#_x0000_t75" style="width:482.25pt;height:5in" o:ole="">
            <v:imagedata r:id="rId22" o:title=""/>
          </v:shape>
          <o:OLEObject Type="Embed" ProgID="Excel.Sheet.12" ShapeID="_x0000_i1032" DrawAspect="Content" ObjectID="_1470661849" r:id="rId23"/>
        </w:object>
      </w:r>
    </w:p>
    <w:p w:rsidR="007D5C91" w:rsidRDefault="007D5C91" w:rsidP="00986458">
      <w:pPr>
        <w:spacing w:line="240" w:lineRule="auto"/>
        <w:rPr>
          <w:rFonts w:hAnsi="ＭＳ 明朝"/>
          <w:szCs w:val="24"/>
        </w:rPr>
      </w:pPr>
    </w:p>
    <w:p w:rsidR="00251B0A" w:rsidRDefault="00251B0A" w:rsidP="00986458">
      <w:pPr>
        <w:spacing w:line="240" w:lineRule="auto"/>
        <w:rPr>
          <w:rFonts w:hAnsi="ＭＳ 明朝"/>
          <w:szCs w:val="24"/>
        </w:rPr>
      </w:pPr>
    </w:p>
    <w:p w:rsidR="004F1A37" w:rsidRDefault="004F1A37" w:rsidP="00986458">
      <w:pPr>
        <w:spacing w:line="240" w:lineRule="auto"/>
        <w:rPr>
          <w:rFonts w:hAnsi="ＭＳ 明朝"/>
          <w:szCs w:val="24"/>
        </w:rPr>
      </w:pPr>
    </w:p>
    <w:p w:rsidR="004F1A37" w:rsidRDefault="004F1A37" w:rsidP="00986458">
      <w:pPr>
        <w:spacing w:line="240" w:lineRule="auto"/>
        <w:rPr>
          <w:rFonts w:hAnsi="ＭＳ 明朝"/>
          <w:szCs w:val="24"/>
        </w:rPr>
      </w:pPr>
    </w:p>
    <w:p w:rsidR="00251B0A" w:rsidRDefault="00251B0A" w:rsidP="00986458">
      <w:pPr>
        <w:spacing w:line="240" w:lineRule="auto"/>
        <w:rPr>
          <w:rFonts w:hAnsi="ＭＳ 明朝"/>
          <w:szCs w:val="24"/>
        </w:rPr>
      </w:pPr>
    </w:p>
    <w:p w:rsidR="000620FC" w:rsidRDefault="000620FC" w:rsidP="00986458">
      <w:pPr>
        <w:spacing w:line="240" w:lineRule="auto"/>
        <w:rPr>
          <w:rFonts w:hAnsi="ＭＳ 明朝"/>
          <w:szCs w:val="24"/>
        </w:rPr>
      </w:pPr>
    </w:p>
    <w:p w:rsidR="00B93D5A" w:rsidRDefault="00B93D5A" w:rsidP="00986458">
      <w:pPr>
        <w:spacing w:line="240" w:lineRule="auto"/>
        <w:rPr>
          <w:rFonts w:hAnsi="ＭＳ 明朝"/>
          <w:szCs w:val="24"/>
        </w:rPr>
      </w:pPr>
    </w:p>
    <w:p w:rsidR="00251B0A" w:rsidRPr="00251B0A" w:rsidRDefault="00251B0A" w:rsidP="00F13BD3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251B0A">
        <w:rPr>
          <w:rFonts w:ascii="ＭＳ ゴシック" w:eastAsia="ＭＳ ゴシック" w:hAnsi="ＭＳ ゴシック" w:hint="eastAsia"/>
          <w:szCs w:val="24"/>
        </w:rPr>
        <w:lastRenderedPageBreak/>
        <w:t>市債現在高の状況</w:t>
      </w:r>
    </w:p>
    <w:p w:rsidR="00251B0A" w:rsidRDefault="00251B0A" w:rsidP="00251B0A">
      <w:pPr>
        <w:spacing w:line="240" w:lineRule="auto"/>
        <w:ind w:firstLineChars="3100" w:firstLine="744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（単位：千円・％）</w:t>
      </w:r>
    </w:p>
    <w:bookmarkStart w:id="8" w:name="_MON_1438775963"/>
    <w:bookmarkEnd w:id="8"/>
    <w:p w:rsidR="00251B0A" w:rsidRDefault="001D19FC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9307" w:dyaOrig="2869">
          <v:shape id="_x0000_i1033" type="#_x0000_t75" style="width:480.75pt;height:144.75pt" o:ole="">
            <v:imagedata r:id="rId24" o:title=""/>
          </v:shape>
          <o:OLEObject Type="Embed" ProgID="Excel.Sheet.12" ShapeID="_x0000_i1033" DrawAspect="Content" ObjectID="_1470661850" r:id="rId25"/>
        </w:object>
      </w:r>
    </w:p>
    <w:p w:rsidR="00251B0A" w:rsidRDefault="00251B0A" w:rsidP="00986458">
      <w:pPr>
        <w:spacing w:line="240" w:lineRule="auto"/>
        <w:rPr>
          <w:rFonts w:hAnsi="ＭＳ 明朝"/>
          <w:szCs w:val="24"/>
        </w:rPr>
      </w:pPr>
    </w:p>
    <w:p w:rsidR="00930AC2" w:rsidRDefault="00930AC2" w:rsidP="00986458">
      <w:pPr>
        <w:spacing w:line="240" w:lineRule="auto"/>
        <w:rPr>
          <w:rFonts w:hAnsi="ＭＳ 明朝"/>
          <w:szCs w:val="24"/>
        </w:rPr>
      </w:pPr>
    </w:p>
    <w:p w:rsidR="00251B0A" w:rsidRPr="008A2D2E" w:rsidRDefault="00BD1340" w:rsidP="00F13BD3">
      <w:pPr>
        <w:spacing w:line="240" w:lineRule="auto"/>
        <w:ind w:firstLineChars="100" w:firstLine="240"/>
        <w:rPr>
          <w:rFonts w:asciiTheme="majorEastAsia" w:eastAsiaTheme="majorEastAsia" w:hAnsiTheme="majorEastAsia"/>
          <w:szCs w:val="24"/>
        </w:rPr>
      </w:pPr>
      <w:r w:rsidRPr="008A2D2E">
        <w:rPr>
          <w:rFonts w:asciiTheme="majorEastAsia" w:eastAsiaTheme="majorEastAsia" w:hAnsiTheme="majorEastAsia" w:hint="eastAsia"/>
          <w:szCs w:val="24"/>
        </w:rPr>
        <w:t>市債（発行額）、償還金（元金償還額）及び未償還金残高の推移</w:t>
      </w:r>
    </w:p>
    <w:p w:rsidR="00251B0A" w:rsidRDefault="00BD1340" w:rsidP="00887348">
      <w:pPr>
        <w:spacing w:line="240" w:lineRule="auto"/>
        <w:ind w:firstLineChars="3300" w:firstLine="792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（単位：千円）</w:t>
      </w:r>
    </w:p>
    <w:p w:rsidR="00251B0A" w:rsidRDefault="00353D2C" w:rsidP="00986458">
      <w:pPr>
        <w:spacing w:line="240" w:lineRule="auto"/>
        <w:rPr>
          <w:rFonts w:hAnsi="ＭＳ 明朝"/>
          <w:szCs w:val="24"/>
        </w:rPr>
      </w:pPr>
      <w:r>
        <w:rPr>
          <w:noProof/>
          <w:sz w:val="22"/>
        </w:rPr>
        <w:drawing>
          <wp:inline distT="0" distB="0" distL="0" distR="0">
            <wp:extent cx="6096000" cy="3333750"/>
            <wp:effectExtent l="19050" t="0" r="19050" b="0"/>
            <wp:docPr id="11" name="オブジェクト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251B0A" w:rsidRDefault="00251B0A" w:rsidP="00986458">
      <w:pPr>
        <w:spacing w:line="240" w:lineRule="auto"/>
        <w:rPr>
          <w:rFonts w:hAnsi="ＭＳ 明朝"/>
          <w:szCs w:val="24"/>
        </w:rPr>
      </w:pPr>
    </w:p>
    <w:p w:rsidR="00251B0A" w:rsidRDefault="00251B0A" w:rsidP="00986458">
      <w:pPr>
        <w:spacing w:line="240" w:lineRule="auto"/>
        <w:rPr>
          <w:rFonts w:hAnsi="ＭＳ 明朝"/>
          <w:szCs w:val="24"/>
        </w:rPr>
      </w:pPr>
    </w:p>
    <w:p w:rsidR="00251B0A" w:rsidRPr="00986458" w:rsidRDefault="00251B0A" w:rsidP="00986458">
      <w:pPr>
        <w:spacing w:line="240" w:lineRule="auto"/>
        <w:rPr>
          <w:rFonts w:hAnsi="ＭＳ 明朝"/>
          <w:szCs w:val="24"/>
        </w:rPr>
      </w:pPr>
    </w:p>
    <w:p w:rsidR="003C5F70" w:rsidRDefault="003C5F70" w:rsidP="00986458">
      <w:pPr>
        <w:spacing w:line="240" w:lineRule="auto"/>
        <w:rPr>
          <w:rFonts w:hAnsi="ＭＳ 明朝"/>
          <w:szCs w:val="24"/>
        </w:rPr>
      </w:pPr>
    </w:p>
    <w:p w:rsidR="00BD1340" w:rsidRDefault="00BD1340" w:rsidP="00986458">
      <w:pPr>
        <w:spacing w:line="240" w:lineRule="auto"/>
        <w:rPr>
          <w:rFonts w:hAnsi="ＭＳ 明朝"/>
          <w:szCs w:val="24"/>
        </w:rPr>
      </w:pPr>
    </w:p>
    <w:p w:rsidR="00BD1340" w:rsidRDefault="00BD1340" w:rsidP="00986458">
      <w:pPr>
        <w:spacing w:line="240" w:lineRule="auto"/>
        <w:rPr>
          <w:rFonts w:hAnsi="ＭＳ 明朝"/>
          <w:szCs w:val="24"/>
        </w:rPr>
      </w:pPr>
    </w:p>
    <w:p w:rsidR="00E0211D" w:rsidRDefault="00E0211D" w:rsidP="00986458">
      <w:pPr>
        <w:spacing w:line="240" w:lineRule="auto"/>
        <w:rPr>
          <w:rFonts w:hAnsi="ＭＳ 明朝"/>
          <w:szCs w:val="24"/>
        </w:rPr>
      </w:pPr>
    </w:p>
    <w:p w:rsidR="00E0211D" w:rsidRDefault="00E0211D" w:rsidP="00986458">
      <w:pPr>
        <w:spacing w:line="240" w:lineRule="auto"/>
        <w:rPr>
          <w:rFonts w:hAnsi="ＭＳ 明朝"/>
          <w:szCs w:val="24"/>
        </w:rPr>
      </w:pPr>
    </w:p>
    <w:p w:rsidR="00E0211D" w:rsidRDefault="00E0211D" w:rsidP="00986458">
      <w:pPr>
        <w:spacing w:line="240" w:lineRule="auto"/>
        <w:rPr>
          <w:rFonts w:hAnsi="ＭＳ 明朝"/>
          <w:szCs w:val="24"/>
        </w:rPr>
      </w:pPr>
    </w:p>
    <w:sectPr w:rsidR="00E0211D" w:rsidSect="003F5989">
      <w:footerReference w:type="default" r:id="rId27"/>
      <w:pgSz w:w="11906" w:h="16838" w:code="9"/>
      <w:pgMar w:top="1134" w:right="1134" w:bottom="1134" w:left="1134" w:header="851" w:footer="567" w:gutter="0"/>
      <w:pgNumType w:fmt="numberInDash" w:start="15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10F" w:rsidRDefault="00F7410F" w:rsidP="00255786">
      <w:pPr>
        <w:spacing w:line="240" w:lineRule="auto"/>
      </w:pPr>
      <w:r>
        <w:separator/>
      </w:r>
    </w:p>
  </w:endnote>
  <w:endnote w:type="continuationSeparator" w:id="0">
    <w:p w:rsidR="00F7410F" w:rsidRDefault="00F7410F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24744"/>
      <w:docPartObj>
        <w:docPartGallery w:val="Page Numbers (Bottom of Page)"/>
        <w:docPartUnique/>
      </w:docPartObj>
    </w:sdtPr>
    <w:sdtContent>
      <w:p w:rsidR="003F5989" w:rsidRDefault="00334FE6" w:rsidP="003F5989">
        <w:pPr>
          <w:pStyle w:val="a8"/>
          <w:jc w:val="center"/>
        </w:pPr>
        <w:r>
          <w:fldChar w:fldCharType="begin"/>
        </w:r>
        <w:r w:rsidR="003F5989">
          <w:instrText xml:space="preserve"> PAGE   \* MERGEFORMAT </w:instrText>
        </w:r>
        <w:r>
          <w:fldChar w:fldCharType="separate"/>
        </w:r>
        <w:r w:rsidR="004F6224" w:rsidRPr="004F6224">
          <w:rPr>
            <w:noProof/>
            <w:lang w:val="ja-JP"/>
          </w:rPr>
          <w:t>-</w:t>
        </w:r>
        <w:r w:rsidR="004F6224">
          <w:rPr>
            <w:noProof/>
          </w:rPr>
          <w:t xml:space="preserve"> 22 -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10F" w:rsidRDefault="00F7410F" w:rsidP="00255786">
      <w:pPr>
        <w:spacing w:line="240" w:lineRule="auto"/>
      </w:pPr>
      <w:r>
        <w:separator/>
      </w:r>
    </w:p>
  </w:footnote>
  <w:footnote w:type="continuationSeparator" w:id="0">
    <w:p w:rsidR="00F7410F" w:rsidRDefault="00F7410F" w:rsidP="0025578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4B83"/>
    <w:rsid w:val="000052C5"/>
    <w:rsid w:val="00032586"/>
    <w:rsid w:val="0003565F"/>
    <w:rsid w:val="000361B0"/>
    <w:rsid w:val="00040D88"/>
    <w:rsid w:val="00050BFC"/>
    <w:rsid w:val="00055D73"/>
    <w:rsid w:val="000620FC"/>
    <w:rsid w:val="0007065B"/>
    <w:rsid w:val="0007101A"/>
    <w:rsid w:val="00080F54"/>
    <w:rsid w:val="000940D1"/>
    <w:rsid w:val="00095FFB"/>
    <w:rsid w:val="000A3482"/>
    <w:rsid w:val="000B044B"/>
    <w:rsid w:val="000B6AC4"/>
    <w:rsid w:val="000D1FB3"/>
    <w:rsid w:val="00107F19"/>
    <w:rsid w:val="001109CA"/>
    <w:rsid w:val="00114CF4"/>
    <w:rsid w:val="00116C8B"/>
    <w:rsid w:val="00122438"/>
    <w:rsid w:val="00130566"/>
    <w:rsid w:val="00133B37"/>
    <w:rsid w:val="001506EA"/>
    <w:rsid w:val="00160DFA"/>
    <w:rsid w:val="00192B26"/>
    <w:rsid w:val="00196809"/>
    <w:rsid w:val="001B071B"/>
    <w:rsid w:val="001B1618"/>
    <w:rsid w:val="001C20F2"/>
    <w:rsid w:val="001C6701"/>
    <w:rsid w:val="001C753B"/>
    <w:rsid w:val="001D19FC"/>
    <w:rsid w:val="001D2024"/>
    <w:rsid w:val="001E7CE8"/>
    <w:rsid w:val="001F5593"/>
    <w:rsid w:val="00204370"/>
    <w:rsid w:val="00217F7F"/>
    <w:rsid w:val="00243119"/>
    <w:rsid w:val="00251B0A"/>
    <w:rsid w:val="00255786"/>
    <w:rsid w:val="00255BF3"/>
    <w:rsid w:val="002574A7"/>
    <w:rsid w:val="002639F4"/>
    <w:rsid w:val="0028289D"/>
    <w:rsid w:val="00284931"/>
    <w:rsid w:val="002874D0"/>
    <w:rsid w:val="002959FA"/>
    <w:rsid w:val="00296E3F"/>
    <w:rsid w:val="002B753D"/>
    <w:rsid w:val="002C0CAB"/>
    <w:rsid w:val="002D15FF"/>
    <w:rsid w:val="002F5AED"/>
    <w:rsid w:val="00305C20"/>
    <w:rsid w:val="00311D03"/>
    <w:rsid w:val="0032119B"/>
    <w:rsid w:val="00326EC7"/>
    <w:rsid w:val="003309ED"/>
    <w:rsid w:val="00334FE6"/>
    <w:rsid w:val="0033728C"/>
    <w:rsid w:val="00353D2C"/>
    <w:rsid w:val="00354100"/>
    <w:rsid w:val="00357482"/>
    <w:rsid w:val="00397AF8"/>
    <w:rsid w:val="003A3BC0"/>
    <w:rsid w:val="003C5F70"/>
    <w:rsid w:val="003D7FF4"/>
    <w:rsid w:val="003E1785"/>
    <w:rsid w:val="003E1B30"/>
    <w:rsid w:val="003E7FE5"/>
    <w:rsid w:val="003F089E"/>
    <w:rsid w:val="003F4263"/>
    <w:rsid w:val="003F5989"/>
    <w:rsid w:val="00427CAB"/>
    <w:rsid w:val="00445AF2"/>
    <w:rsid w:val="00467CE8"/>
    <w:rsid w:val="0047129B"/>
    <w:rsid w:val="004815C0"/>
    <w:rsid w:val="00481B54"/>
    <w:rsid w:val="00487836"/>
    <w:rsid w:val="0049196E"/>
    <w:rsid w:val="00491D15"/>
    <w:rsid w:val="00496D6D"/>
    <w:rsid w:val="004D7C8F"/>
    <w:rsid w:val="004E3054"/>
    <w:rsid w:val="004E48E9"/>
    <w:rsid w:val="004E7E88"/>
    <w:rsid w:val="004F1A37"/>
    <w:rsid w:val="004F6224"/>
    <w:rsid w:val="004F679A"/>
    <w:rsid w:val="0050727E"/>
    <w:rsid w:val="00514EDE"/>
    <w:rsid w:val="005308EF"/>
    <w:rsid w:val="005517E5"/>
    <w:rsid w:val="005552E7"/>
    <w:rsid w:val="00572C9E"/>
    <w:rsid w:val="00583D7C"/>
    <w:rsid w:val="005904FF"/>
    <w:rsid w:val="005C4897"/>
    <w:rsid w:val="006002D3"/>
    <w:rsid w:val="00621B2A"/>
    <w:rsid w:val="0062344B"/>
    <w:rsid w:val="0063043F"/>
    <w:rsid w:val="006354E4"/>
    <w:rsid w:val="00661788"/>
    <w:rsid w:val="0067194E"/>
    <w:rsid w:val="00683F4B"/>
    <w:rsid w:val="006A7FEA"/>
    <w:rsid w:val="006B0FB8"/>
    <w:rsid w:val="006E36A0"/>
    <w:rsid w:val="006F27F7"/>
    <w:rsid w:val="00711008"/>
    <w:rsid w:val="007118DB"/>
    <w:rsid w:val="00720D83"/>
    <w:rsid w:val="00722253"/>
    <w:rsid w:val="00727955"/>
    <w:rsid w:val="00735C13"/>
    <w:rsid w:val="00756928"/>
    <w:rsid w:val="00765D94"/>
    <w:rsid w:val="007710D0"/>
    <w:rsid w:val="007719F5"/>
    <w:rsid w:val="0077289F"/>
    <w:rsid w:val="00787C63"/>
    <w:rsid w:val="007A433E"/>
    <w:rsid w:val="007A6F6E"/>
    <w:rsid w:val="007C5F94"/>
    <w:rsid w:val="007D0A8D"/>
    <w:rsid w:val="007D5C91"/>
    <w:rsid w:val="007E466D"/>
    <w:rsid w:val="00801114"/>
    <w:rsid w:val="0080497D"/>
    <w:rsid w:val="0080526C"/>
    <w:rsid w:val="0083478C"/>
    <w:rsid w:val="00842D3A"/>
    <w:rsid w:val="00844A2E"/>
    <w:rsid w:val="00847C9D"/>
    <w:rsid w:val="008543D0"/>
    <w:rsid w:val="0087171A"/>
    <w:rsid w:val="0088720F"/>
    <w:rsid w:val="00887348"/>
    <w:rsid w:val="00890B27"/>
    <w:rsid w:val="008A251D"/>
    <w:rsid w:val="008A2D2E"/>
    <w:rsid w:val="008B6F6D"/>
    <w:rsid w:val="008D76A9"/>
    <w:rsid w:val="009014B7"/>
    <w:rsid w:val="009136B9"/>
    <w:rsid w:val="00920DBC"/>
    <w:rsid w:val="00930AC2"/>
    <w:rsid w:val="00936C28"/>
    <w:rsid w:val="00940888"/>
    <w:rsid w:val="00953201"/>
    <w:rsid w:val="0097600A"/>
    <w:rsid w:val="00982EB7"/>
    <w:rsid w:val="00986458"/>
    <w:rsid w:val="009D440E"/>
    <w:rsid w:val="009F2D60"/>
    <w:rsid w:val="00A34ECF"/>
    <w:rsid w:val="00A60D53"/>
    <w:rsid w:val="00A646F6"/>
    <w:rsid w:val="00AC0A5C"/>
    <w:rsid w:val="00AC5D97"/>
    <w:rsid w:val="00AD0C65"/>
    <w:rsid w:val="00AE1072"/>
    <w:rsid w:val="00AE1164"/>
    <w:rsid w:val="00AE1937"/>
    <w:rsid w:val="00AE30D2"/>
    <w:rsid w:val="00AF0D08"/>
    <w:rsid w:val="00B00378"/>
    <w:rsid w:val="00B02026"/>
    <w:rsid w:val="00B03784"/>
    <w:rsid w:val="00B115A4"/>
    <w:rsid w:val="00B203B0"/>
    <w:rsid w:val="00B2467C"/>
    <w:rsid w:val="00B30A57"/>
    <w:rsid w:val="00B60D86"/>
    <w:rsid w:val="00B80806"/>
    <w:rsid w:val="00B87C4E"/>
    <w:rsid w:val="00B93D5A"/>
    <w:rsid w:val="00BB1002"/>
    <w:rsid w:val="00BC04D0"/>
    <w:rsid w:val="00BC58CE"/>
    <w:rsid w:val="00BD1340"/>
    <w:rsid w:val="00BD4BD4"/>
    <w:rsid w:val="00BE6A23"/>
    <w:rsid w:val="00BF5D51"/>
    <w:rsid w:val="00C0188E"/>
    <w:rsid w:val="00C60D8D"/>
    <w:rsid w:val="00C61AFB"/>
    <w:rsid w:val="00C6685F"/>
    <w:rsid w:val="00C66D49"/>
    <w:rsid w:val="00C73B3C"/>
    <w:rsid w:val="00C86DEA"/>
    <w:rsid w:val="00C96678"/>
    <w:rsid w:val="00C96AFB"/>
    <w:rsid w:val="00CB1F23"/>
    <w:rsid w:val="00CC0397"/>
    <w:rsid w:val="00CD6965"/>
    <w:rsid w:val="00CD6D41"/>
    <w:rsid w:val="00CE5B6B"/>
    <w:rsid w:val="00D06E2D"/>
    <w:rsid w:val="00D155AA"/>
    <w:rsid w:val="00D21795"/>
    <w:rsid w:val="00D22630"/>
    <w:rsid w:val="00D23C54"/>
    <w:rsid w:val="00D3426B"/>
    <w:rsid w:val="00D3704F"/>
    <w:rsid w:val="00D52900"/>
    <w:rsid w:val="00D54EFC"/>
    <w:rsid w:val="00D57DFA"/>
    <w:rsid w:val="00D72B5D"/>
    <w:rsid w:val="00D82582"/>
    <w:rsid w:val="00D91257"/>
    <w:rsid w:val="00DB0DA3"/>
    <w:rsid w:val="00DB63B0"/>
    <w:rsid w:val="00DC6ABE"/>
    <w:rsid w:val="00DD0C22"/>
    <w:rsid w:val="00DD460A"/>
    <w:rsid w:val="00E0211D"/>
    <w:rsid w:val="00E05492"/>
    <w:rsid w:val="00E6241F"/>
    <w:rsid w:val="00E70839"/>
    <w:rsid w:val="00E76E5F"/>
    <w:rsid w:val="00E9770E"/>
    <w:rsid w:val="00EA14EE"/>
    <w:rsid w:val="00EC4E07"/>
    <w:rsid w:val="00EC52A5"/>
    <w:rsid w:val="00EC5C6E"/>
    <w:rsid w:val="00ED0270"/>
    <w:rsid w:val="00ED4B83"/>
    <w:rsid w:val="00F005AF"/>
    <w:rsid w:val="00F0160F"/>
    <w:rsid w:val="00F10419"/>
    <w:rsid w:val="00F11047"/>
    <w:rsid w:val="00F13BD3"/>
    <w:rsid w:val="00F36991"/>
    <w:rsid w:val="00F45180"/>
    <w:rsid w:val="00F46EB0"/>
    <w:rsid w:val="00F55337"/>
    <w:rsid w:val="00F62FFB"/>
    <w:rsid w:val="00F70226"/>
    <w:rsid w:val="00F7410F"/>
    <w:rsid w:val="00F82EE0"/>
    <w:rsid w:val="00F93519"/>
    <w:rsid w:val="00FA65CC"/>
    <w:rsid w:val="00FA7404"/>
    <w:rsid w:val="00FC1ED7"/>
    <w:rsid w:val="00FC2D0F"/>
    <w:rsid w:val="00FC62A9"/>
    <w:rsid w:val="00FE78D7"/>
    <w:rsid w:val="00FF42B4"/>
    <w:rsid w:val="00FF6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  <w:style w:type="paragraph" w:styleId="aa">
    <w:name w:val="Block Text"/>
    <w:basedOn w:val="a"/>
    <w:rsid w:val="0080497D"/>
    <w:pPr>
      <w:kinsoku w:val="0"/>
      <w:wordWrap w:val="0"/>
      <w:overflowPunct w:val="0"/>
      <w:snapToGrid w:val="0"/>
      <w:spacing w:line="396" w:lineRule="exact"/>
      <w:ind w:left="215" w:right="215"/>
    </w:pPr>
    <w:rPr>
      <w:rFonts w:hAnsi="ＭＳ 明朝"/>
      <w:spacing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Office_Excel_______1.xlsx"/><Relationship Id="rId13" Type="http://schemas.openxmlformats.org/officeDocument/2006/relationships/package" Target="embeddings/Microsoft_Office_Excel_______4.xlsx"/><Relationship Id="rId18" Type="http://schemas.openxmlformats.org/officeDocument/2006/relationships/image" Target="media/image6.emf"/><Relationship Id="rId26" Type="http://schemas.openxmlformats.org/officeDocument/2006/relationships/chart" Target="charts/chart2.xml"/><Relationship Id="rId3" Type="http://schemas.openxmlformats.org/officeDocument/2006/relationships/settings" Target="settings.xml"/><Relationship Id="rId21" Type="http://schemas.openxmlformats.org/officeDocument/2006/relationships/package" Target="embeddings/Microsoft_Office_Excel_______8.xlsx"/><Relationship Id="rId7" Type="http://schemas.openxmlformats.org/officeDocument/2006/relationships/image" Target="media/image1.emf"/><Relationship Id="rId12" Type="http://schemas.openxmlformats.org/officeDocument/2006/relationships/image" Target="media/image3.emf"/><Relationship Id="rId17" Type="http://schemas.openxmlformats.org/officeDocument/2006/relationships/package" Target="embeddings/Microsoft_Office_Excel_______6.xlsx"/><Relationship Id="rId25" Type="http://schemas.openxmlformats.org/officeDocument/2006/relationships/package" Target="embeddings/Microsoft_Office_Excel_______10.xlsx"/><Relationship Id="rId2" Type="http://schemas.openxmlformats.org/officeDocument/2006/relationships/styles" Target="styles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package" Target="embeddings/Microsoft_Office_Excel_______3.xlsx"/><Relationship Id="rId24" Type="http://schemas.openxmlformats.org/officeDocument/2006/relationships/image" Target="media/image9.emf"/><Relationship Id="rId5" Type="http://schemas.openxmlformats.org/officeDocument/2006/relationships/footnotes" Target="footnotes.xml"/><Relationship Id="rId15" Type="http://schemas.openxmlformats.org/officeDocument/2006/relationships/package" Target="embeddings/Microsoft_Office_Excel_______5.xlsx"/><Relationship Id="rId23" Type="http://schemas.openxmlformats.org/officeDocument/2006/relationships/package" Target="embeddings/Microsoft_Office_Excel_______9.xlsx"/><Relationship Id="rId28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package" Target="embeddings/Microsoft_Office_Excel_______7.xlsx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______2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______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chart>
    <c:autoTitleDeleted val="1"/>
    <c:view3D>
      <c:rotX val="20"/>
      <c:perspective val="0"/>
    </c:view3D>
    <c:plotArea>
      <c:layout>
        <c:manualLayout>
          <c:layoutTarget val="inner"/>
          <c:xMode val="edge"/>
          <c:yMode val="edge"/>
          <c:x val="0.1255961844197139"/>
          <c:y val="0.30054644808743181"/>
          <c:w val="0.81717011128775829"/>
          <c:h val="0.66939890710383643"/>
        </c:manualLayout>
      </c:layout>
      <c:pie3DChart>
        <c:varyColors val="1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explosion val="4"/>
          <c:dPt>
            <c:idx val="0"/>
            <c:spPr>
              <a:solidFill>
                <a:srgbClr val="9999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7"/>
            <c:spPr>
              <a:solidFill>
                <a:srgbClr val="CCCC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8"/>
            <c:spPr>
              <a:solidFill>
                <a:srgbClr val="000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9"/>
            <c:spPr>
              <a:solidFill>
                <a:srgbClr val="FF00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0"/>
            <c:spPr>
              <a:solidFill>
                <a:srgbClr val="FFFF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ja-JP" altLang="en-US"/>
                      <a:t>市税</a:t>
                    </a:r>
                    <a:r>
                      <a:rPr lang="en-US" altLang="ja-JP"/>
                      <a:t>30.3(34.8) </a:t>
                    </a:r>
                  </a:p>
                </c:rich>
              </c:tx>
              <c:dLblPos val="ctr"/>
            </c:dLbl>
            <c:dLbl>
              <c:idx val="1"/>
              <c:layout>
                <c:manualLayout>
                  <c:x val="-0.42405694593340587"/>
                  <c:y val="-0.22822695035460991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市債</a:t>
                    </a:r>
                    <a:r>
                      <a:rPr lang="en-US" altLang="ja-JP"/>
                      <a:t>16.3(15.7) </a:t>
                    </a:r>
                  </a:p>
                </c:rich>
              </c:tx>
              <c:dLblPos val="bestFit"/>
            </c:dLbl>
            <c:dLbl>
              <c:idx val="2"/>
              <c:layout>
                <c:manualLayout>
                  <c:x val="-4.3864962889028934E-2"/>
                  <c:y val="-0.35998966884459038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地方交付税</a:t>
                    </a:r>
                    <a:r>
                      <a:rPr lang="en-US" altLang="ja-JP"/>
                      <a:t>13.0(14.4) </a:t>
                    </a:r>
                  </a:p>
                </c:rich>
              </c:tx>
              <c:dLblPos val="bestFit"/>
            </c:dLbl>
            <c:dLbl>
              <c:idx val="3"/>
              <c:layout>
                <c:manualLayout>
                  <c:x val="0.58567101647506392"/>
                  <c:y val="-5.7680236778913513E-2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国庫支出金</a:t>
                    </a:r>
                    <a:r>
                      <a:rPr lang="en-US" altLang="ja-JP"/>
                      <a:t>20.1(12.6) </a:t>
                    </a:r>
                  </a:p>
                </c:rich>
              </c:tx>
              <c:dLblPos val="bestFit"/>
            </c:dLbl>
            <c:dLbl>
              <c:idx val="4"/>
              <c:layout>
                <c:manualLayout>
                  <c:x val="-1.969645813052727E-2"/>
                  <c:y val="-0.12421929971519517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諸収入</a:t>
                    </a:r>
                    <a:r>
                      <a:rPr lang="en-US" altLang="ja-JP"/>
                      <a:t>5.7(7.8) </a:t>
                    </a:r>
                  </a:p>
                </c:rich>
              </c:tx>
              <c:dLblPos val="bestFit"/>
            </c:dLbl>
            <c:dLbl>
              <c:idx val="5"/>
              <c:layout>
                <c:manualLayout>
                  <c:x val="-7.972496395697129E-2"/>
                  <c:y val="-0.12800217791924937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県支出金</a:t>
                    </a:r>
                    <a:r>
                      <a:rPr lang="en-US" altLang="ja-JP"/>
                      <a:t>5.5(5.8) </a:t>
                    </a:r>
                  </a:p>
                </c:rich>
              </c:tx>
              <c:dLblPos val="bestFit"/>
            </c:dLbl>
            <c:dLbl>
              <c:idx val="6"/>
              <c:layout>
                <c:manualLayout>
                  <c:x val="-0.15550035118849848"/>
                  <c:y val="-0.15180013402580131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地方消費税交付金</a:t>
                    </a:r>
                    <a:r>
                      <a:rPr lang="en-US" altLang="ja-JP"/>
                      <a:t>2.0(2.3) </a:t>
                    </a:r>
                  </a:p>
                </c:rich>
              </c:tx>
              <c:dLblPos val="bestFit"/>
            </c:dLbl>
            <c:dLbl>
              <c:idx val="7"/>
              <c:layout>
                <c:manualLayout>
                  <c:x val="-0.20171511424921651"/>
                  <c:y val="-0.22624141397219272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分担金及び負担金</a:t>
                    </a:r>
                    <a:r>
                      <a:rPr lang="en-US" altLang="ja-JP"/>
                      <a:t>2.0(1.6) </a:t>
                    </a:r>
                  </a:p>
                </c:rich>
              </c:tx>
              <c:dLblPos val="bestFit"/>
            </c:dLbl>
            <c:dLbl>
              <c:idx val="8"/>
              <c:layout>
                <c:manualLayout>
                  <c:x val="-3.5157459777621691E-2"/>
                  <c:y val="-0.21335958005249586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使用料及び手数料</a:t>
                    </a:r>
                    <a:r>
                      <a:rPr lang="en-US" altLang="ja-JP"/>
                      <a:t>1.8(2.1) </a:t>
                    </a:r>
                  </a:p>
                </c:rich>
              </c:tx>
              <c:dLblPos val="bestFit"/>
            </c:dLbl>
            <c:dLbl>
              <c:idx val="9"/>
              <c:layout>
                <c:manualLayout>
                  <c:x val="0.17829597591380897"/>
                  <c:y val="-0.23524543474619153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繰入金</a:t>
                    </a:r>
                    <a:r>
                      <a:rPr lang="en-US" altLang="ja-JP"/>
                      <a:t>1.1(0.7) </a:t>
                    </a:r>
                  </a:p>
                </c:rich>
              </c:tx>
              <c:dLblPos val="bestFit"/>
            </c:dLbl>
            <c:dLbl>
              <c:idx val="10"/>
              <c:layout>
                <c:manualLayout>
                  <c:x val="0.17965324756940751"/>
                  <c:y val="-5.7441782543139572E-2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その他</a:t>
                    </a:r>
                    <a:r>
                      <a:rPr lang="en-US" altLang="en-US"/>
                      <a:t>2.2(2.0) </a:t>
                    </a:r>
                  </a:p>
                </c:rich>
              </c:tx>
              <c:dLblPos val="bestFit"/>
              <c:showVal val="1"/>
            </c:dLbl>
            <c:spPr>
              <a:solidFill>
                <a:srgbClr val="FFFFFF"/>
              </a:solidFill>
              <a:ln w="2539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ＭＳ 明朝"/>
                    <a:ea typeface="ＭＳ 明朝"/>
                    <a:cs typeface="ＭＳ 明朝"/>
                  </a:defRPr>
                </a:pPr>
                <a:endParaRPr lang="ja-JP"/>
              </a:p>
            </c:txPr>
            <c:dLblPos val="ctr"/>
            <c:showVal val="1"/>
            <c:showCatName val="1"/>
            <c:showLeaderLines val="1"/>
          </c:dLbls>
          <c:cat>
            <c:strRef>
              <c:f>Sheet1!$B$1:$L$1</c:f>
              <c:strCache>
                <c:ptCount val="11"/>
                <c:pt idx="0">
                  <c:v>市税</c:v>
                </c:pt>
                <c:pt idx="1">
                  <c:v>国庫支出金</c:v>
                </c:pt>
                <c:pt idx="2">
                  <c:v>市債</c:v>
                </c:pt>
                <c:pt idx="3">
                  <c:v>地方交付税</c:v>
                </c:pt>
                <c:pt idx="4">
                  <c:v>諸収入</c:v>
                </c:pt>
                <c:pt idx="5">
                  <c:v>県支出金</c:v>
                </c:pt>
                <c:pt idx="6">
                  <c:v>地方消費税交付金</c:v>
                </c:pt>
                <c:pt idx="7">
                  <c:v>分担金及び負担金</c:v>
                </c:pt>
                <c:pt idx="8">
                  <c:v>使用料及び手数料</c:v>
                </c:pt>
                <c:pt idx="9">
                  <c:v>繰入金</c:v>
                </c:pt>
                <c:pt idx="10">
                  <c:v>その他</c:v>
                </c:pt>
              </c:strCache>
            </c:strRef>
          </c:cat>
          <c:val>
            <c:numRef>
              <c:f>Sheet1!$B$2:$L$2</c:f>
              <c:numCache>
                <c:formatCode>0.0_ </c:formatCode>
                <c:ptCount val="11"/>
                <c:pt idx="0" formatCode="General">
                  <c:v>30.3</c:v>
                </c:pt>
                <c:pt idx="1">
                  <c:v>20.100000000000001</c:v>
                </c:pt>
                <c:pt idx="2">
                  <c:v>16.3</c:v>
                </c:pt>
                <c:pt idx="3">
                  <c:v>13</c:v>
                </c:pt>
                <c:pt idx="4">
                  <c:v>5.7</c:v>
                </c:pt>
                <c:pt idx="5">
                  <c:v>5.5</c:v>
                </c:pt>
                <c:pt idx="6">
                  <c:v>2</c:v>
                </c:pt>
                <c:pt idx="7">
                  <c:v>2</c:v>
                </c:pt>
                <c:pt idx="8">
                  <c:v>1.8</c:v>
                </c:pt>
                <c:pt idx="9">
                  <c:v>1.1000000000000001</c:v>
                </c:pt>
                <c:pt idx="10">
                  <c:v>2.2000000000000002</c:v>
                </c:pt>
              </c:numCache>
            </c:numRef>
          </c:val>
        </c:ser>
        <c:dLbls>
          <c:showVal val="1"/>
          <c:showCatName val="1"/>
        </c:dLbls>
      </c:pie3DChart>
      <c:spPr>
        <a:noFill/>
        <a:ln w="25399">
          <a:noFill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ＭＳ 明朝"/>
          <a:ea typeface="ＭＳ 明朝"/>
          <a:cs typeface="ＭＳ 明朝"/>
        </a:defRPr>
      </a:pPr>
      <a:endParaRPr lang="ja-JP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chart>
    <c:autoTitleDeleted val="1"/>
    <c:plotArea>
      <c:layout>
        <c:manualLayout>
          <c:layoutTarget val="inner"/>
          <c:xMode val="edge"/>
          <c:yMode val="edge"/>
          <c:x val="0.12173340034623459"/>
          <c:y val="7.4576271186441764E-2"/>
          <c:w val="0.74440849149175503"/>
          <c:h val="0.66101694915254239"/>
        </c:manualLayout>
      </c:layout>
      <c:barChart>
        <c:barDir val="col"/>
        <c:grouping val="clustered"/>
        <c:ser>
          <c:idx val="1"/>
          <c:order val="0"/>
          <c:tx>
            <c:strRef>
              <c:f>Sheet1!$A$2</c:f>
              <c:strCache>
                <c:ptCount val="1"/>
                <c:pt idx="0">
                  <c:v>市債（発行額）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2243820813361856E-2"/>
                  <c:y val="-2.268823287892046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1.1974477254248635E-3"/>
                  <c:y val="-3.3588000166275382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1.5518251964519501E-3"/>
                  <c:y val="-2.7735496663915181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9.2288977926486594E-4"/>
                  <c:y val="-6.0454529874511996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3.4387709685134681E-3"/>
                  <c:y val="-4.3297824782181074E-3"/>
                </c:manualLayout>
              </c:layout>
              <c:dLblPos val="outEnd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ＭＳ Ｐ明朝"/>
                    <a:ea typeface="ＭＳ Ｐ明朝"/>
                    <a:cs typeface="ＭＳ Ｐ明朝"/>
                  </a:defRPr>
                </a:pPr>
                <a:endParaRPr lang="ja-JP"/>
              </a:p>
            </c:txPr>
            <c:showVal val="1"/>
          </c:dLbls>
          <c:cat>
            <c:strRef>
              <c:f>Sheet1!$B$1:$F$1</c:f>
              <c:strCache>
                <c:ptCount val="5"/>
                <c:pt idx="0">
                  <c:v>21年度</c:v>
                </c:pt>
                <c:pt idx="1">
                  <c:v>22年度</c:v>
                </c:pt>
                <c:pt idx="2">
                  <c:v>23年度</c:v>
                </c:pt>
                <c:pt idx="3">
                  <c:v>24年度</c:v>
                </c:pt>
                <c:pt idx="4">
                  <c:v>25年度</c:v>
                </c:pt>
              </c:strCache>
            </c:strRef>
          </c:cat>
          <c:val>
            <c:numRef>
              <c:f>Sheet1!$B$2:$F$2</c:f>
              <c:numCache>
                <c:formatCode>#,##0;[Red]#,##0</c:formatCode>
                <c:ptCount val="5"/>
                <c:pt idx="0">
                  <c:v>8824500</c:v>
                </c:pt>
                <c:pt idx="1">
                  <c:v>10557300</c:v>
                </c:pt>
                <c:pt idx="2">
                  <c:v>11099500</c:v>
                </c:pt>
                <c:pt idx="3">
                  <c:v>11369400</c:v>
                </c:pt>
                <c:pt idx="4">
                  <c:v>13629600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償還金(元金償還額）</c:v>
                </c:pt>
              </c:strCache>
            </c:strRef>
          </c:tx>
          <c:spPr>
            <a:solidFill>
              <a:schemeClr val="bg1"/>
            </a:solidFill>
            <a:ln w="12700">
              <a:solidFill>
                <a:schemeClr val="tx1"/>
              </a:solidFill>
              <a:prstDash val="solid"/>
            </a:ln>
          </c:spPr>
          <c:dLbls>
            <c:dLbl>
              <c:idx val="0"/>
              <c:layout>
                <c:manualLayout>
                  <c:x val="2.7477936979357315E-2"/>
                  <c:y val="4.0661571929794414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2.9993493131835178E-2"/>
                  <c:y val="-6.3562538150357083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3.093688475867298E-2"/>
                  <c:y val="1.0023431705659543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3.3452603429536994E-2"/>
                  <c:y val="-6.9279611790678194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2.0245051660148318E-2"/>
                  <c:y val="4.1693646310326524E-3"/>
                </c:manualLayout>
              </c:layout>
              <c:dLblPos val="outEnd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ＭＳ Ｐ明朝"/>
                    <a:ea typeface="ＭＳ Ｐ明朝"/>
                    <a:cs typeface="ＭＳ Ｐ明朝"/>
                  </a:defRPr>
                </a:pPr>
                <a:endParaRPr lang="ja-JP"/>
              </a:p>
            </c:txPr>
            <c:showVal val="1"/>
          </c:dLbls>
          <c:cat>
            <c:strRef>
              <c:f>Sheet1!$B$1:$F$1</c:f>
              <c:strCache>
                <c:ptCount val="5"/>
                <c:pt idx="0">
                  <c:v>21年度</c:v>
                </c:pt>
                <c:pt idx="1">
                  <c:v>22年度</c:v>
                </c:pt>
                <c:pt idx="2">
                  <c:v>23年度</c:v>
                </c:pt>
                <c:pt idx="3">
                  <c:v>24年度</c:v>
                </c:pt>
                <c:pt idx="4">
                  <c:v>25年度</c:v>
                </c:pt>
              </c:strCache>
            </c:strRef>
          </c:cat>
          <c:val>
            <c:numRef>
              <c:f>Sheet1!$B$4:$F$4</c:f>
              <c:numCache>
                <c:formatCode>#,##0;[Red]#,##0</c:formatCode>
                <c:ptCount val="5"/>
                <c:pt idx="0">
                  <c:v>7535788</c:v>
                </c:pt>
                <c:pt idx="1">
                  <c:v>7446489</c:v>
                </c:pt>
                <c:pt idx="2">
                  <c:v>7625313</c:v>
                </c:pt>
                <c:pt idx="3">
                  <c:v>8085557</c:v>
                </c:pt>
                <c:pt idx="4">
                  <c:v>7765263</c:v>
                </c:pt>
              </c:numCache>
            </c:numRef>
          </c:val>
        </c:ser>
        <c:axId val="57779712"/>
        <c:axId val="57781248"/>
      </c:barChart>
      <c:lineChart>
        <c:grouping val="standard"/>
        <c:ser>
          <c:idx val="0"/>
          <c:order val="1"/>
          <c:tx>
            <c:strRef>
              <c:f>Sheet1!$A$3</c:f>
              <c:strCache>
                <c:ptCount val="1"/>
                <c:pt idx="0">
                  <c:v>未償還金残高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1760776310461533E-2"/>
                  <c:y val="-5.2298709396529773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5.0817384683623533E-2"/>
                  <c:y val="-5.1979536456248039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4.8301666012760022E-2"/>
                  <c:y val="-5.179276541529843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5.0502928473972315E-2"/>
                  <c:y val="-5.2994534060569483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5.4276517979209092E-2"/>
                  <c:y val="-4.1685128342008076E-2"/>
                </c:manualLayout>
              </c:layout>
              <c:dLblPos val="r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ＭＳ Ｐ明朝"/>
                    <a:ea typeface="ＭＳ Ｐ明朝"/>
                    <a:cs typeface="ＭＳ Ｐ明朝"/>
                  </a:defRPr>
                </a:pPr>
                <a:endParaRPr lang="ja-JP"/>
              </a:p>
            </c:txPr>
            <c:showVal val="1"/>
          </c:dLbls>
          <c:cat>
            <c:strRef>
              <c:f>Sheet1!$B$1:$F$1</c:f>
              <c:strCache>
                <c:ptCount val="5"/>
                <c:pt idx="0">
                  <c:v>21年度</c:v>
                </c:pt>
                <c:pt idx="1">
                  <c:v>22年度</c:v>
                </c:pt>
                <c:pt idx="2">
                  <c:v>23年度</c:v>
                </c:pt>
                <c:pt idx="3">
                  <c:v>24年度</c:v>
                </c:pt>
                <c:pt idx="4">
                  <c:v>25年度</c:v>
                </c:pt>
              </c:strCache>
            </c:strRef>
          </c:cat>
          <c:val>
            <c:numRef>
              <c:f>Sheet1!$B$3:$F$3</c:f>
              <c:numCache>
                <c:formatCode>#,##0;[Red]#,##0</c:formatCode>
                <c:ptCount val="5"/>
                <c:pt idx="0">
                  <c:v>87400344</c:v>
                </c:pt>
                <c:pt idx="1">
                  <c:v>90511155</c:v>
                </c:pt>
                <c:pt idx="2">
                  <c:v>93985342</c:v>
                </c:pt>
                <c:pt idx="3">
                  <c:v>97269185</c:v>
                </c:pt>
                <c:pt idx="4">
                  <c:v>103133522</c:v>
                </c:pt>
              </c:numCache>
            </c:numRef>
          </c:val>
        </c:ser>
        <c:marker val="1"/>
        <c:axId val="57676928"/>
        <c:axId val="57678464"/>
      </c:lineChart>
      <c:catAx>
        <c:axId val="57779712"/>
        <c:scaling>
          <c:orientation val="minMax"/>
        </c:scaling>
        <c:axPos val="b"/>
        <c:numFmt formatCode="General" sourceLinked="1"/>
        <c:majorTickMark val="in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ＭＳ ゴシック"/>
                <a:ea typeface="ＭＳ ゴシック"/>
                <a:cs typeface="ＭＳ ゴシック"/>
              </a:defRPr>
            </a:pPr>
            <a:endParaRPr lang="ja-JP"/>
          </a:p>
        </c:txPr>
        <c:crossAx val="57781248"/>
        <c:crosses val="autoZero"/>
        <c:lblAlgn val="ctr"/>
        <c:lblOffset val="100"/>
        <c:tickLblSkip val="1"/>
        <c:tickMarkSkip val="1"/>
      </c:catAx>
      <c:valAx>
        <c:axId val="57781248"/>
        <c:scaling>
          <c:orientation val="minMax"/>
          <c:max val="21000000"/>
          <c:min val="0"/>
        </c:scaling>
        <c:axPos val="l"/>
        <c:title>
          <c:tx>
            <c:rich>
              <a:bodyPr rot="0" vert="wordArtVertRtl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ＭＳ ゴシック"/>
                    <a:ea typeface="ＭＳ ゴシック"/>
                    <a:cs typeface="ＭＳ ゴシック"/>
                  </a:defRPr>
                </a:pPr>
                <a:r>
                  <a:rPr lang="ja-JP" altLang="en-US"/>
                  <a:t>市債・償還金</a:t>
                </a:r>
              </a:p>
            </c:rich>
          </c:tx>
          <c:layout>
            <c:manualLayout>
              <c:xMode val="edge"/>
              <c:yMode val="edge"/>
              <c:x val="1.5723270440251725E-3"/>
              <c:y val="0.23050847457627377"/>
            </c:manualLayout>
          </c:layout>
          <c:spPr>
            <a:noFill/>
            <a:ln w="25400">
              <a:noFill/>
            </a:ln>
          </c:spPr>
        </c:title>
        <c:numFmt formatCode="#,##0;[Red]#,##0" sourceLinked="1"/>
        <c:majorTickMark val="in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57779712"/>
        <c:crosses val="autoZero"/>
        <c:crossBetween val="between"/>
        <c:majorUnit val="3000000"/>
        <c:minorUnit val="3000000"/>
      </c:valAx>
      <c:catAx>
        <c:axId val="57676928"/>
        <c:scaling>
          <c:orientation val="minMax"/>
        </c:scaling>
        <c:delete val="1"/>
        <c:axPos val="b"/>
        <c:tickLblPos val="none"/>
        <c:crossAx val="57678464"/>
        <c:crosses val="autoZero"/>
        <c:lblAlgn val="ctr"/>
        <c:lblOffset val="100"/>
      </c:catAx>
      <c:valAx>
        <c:axId val="57678464"/>
        <c:scaling>
          <c:orientation val="minMax"/>
          <c:max val="120000000"/>
          <c:min val="0"/>
        </c:scaling>
        <c:axPos val="r"/>
        <c:title>
          <c:tx>
            <c:rich>
              <a:bodyPr rot="0" vert="wordArtVertRtl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ＭＳ ゴシック"/>
                    <a:ea typeface="ＭＳ ゴシック"/>
                    <a:cs typeface="ＭＳ ゴシック"/>
                  </a:defRPr>
                </a:pPr>
                <a:r>
                  <a:rPr lang="ja-JP" altLang="en-US"/>
                  <a:t>未償還金残高</a:t>
                </a:r>
              </a:p>
            </c:rich>
          </c:tx>
          <c:layout>
            <c:manualLayout>
              <c:xMode val="edge"/>
              <c:yMode val="edge"/>
              <c:x val="0.96540880503144655"/>
              <c:y val="0.23389830508474579"/>
            </c:manualLayout>
          </c:layout>
          <c:spPr>
            <a:noFill/>
            <a:ln w="25400">
              <a:noFill/>
            </a:ln>
          </c:spPr>
        </c:title>
        <c:numFmt formatCode="#,##0;[Red]#,##0" sourceLinked="1"/>
        <c:majorTickMark val="in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57676928"/>
        <c:crosses val="max"/>
        <c:crossBetween val="between"/>
        <c:majorUnit val="20000000"/>
        <c:minorUnit val="20000000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5094339622641825"/>
          <c:y val="0.84067796610169565"/>
          <c:w val="0.69811320754716977"/>
          <c:h val="8.474576271186586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ＭＳ ゴシック" pitchFamily="49" charset="-128"/>
              <a:ea typeface="ＭＳ ゴシック" pitchFamily="49" charset="-128"/>
              <a:cs typeface="ＭＳ 明朝"/>
            </a:defRPr>
          </a:pPr>
          <a:endParaRPr lang="ja-JP"/>
        </a:p>
      </c:txPr>
    </c:legend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ＭＳ 明朝"/>
          <a:ea typeface="ＭＳ 明朝"/>
          <a:cs typeface="ＭＳ 明朝"/>
        </a:defRPr>
      </a:pPr>
      <a:endParaRPr lang="ja-JP"/>
    </a:p>
  </c:txPr>
  <c:externalData r:id="rId1"/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FB17A-A50C-4DE6-8093-25EE98B09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1921</TotalTime>
  <Pages>9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82</cp:revision>
  <cp:lastPrinted>2014-08-22T05:42:00Z</cp:lastPrinted>
  <dcterms:created xsi:type="dcterms:W3CDTF">2013-09-11T05:53:00Z</dcterms:created>
  <dcterms:modified xsi:type="dcterms:W3CDTF">2014-08-27T07:24:00Z</dcterms:modified>
</cp:coreProperties>
</file>