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E205A2" w:rsidRPr="00A77631" w:rsidRDefault="00E205A2" w:rsidP="00274F67">
      <w:pPr>
        <w:ind w:left="227" w:hangingChars="100" w:hanging="227"/>
        <w:rPr>
          <w:rFonts w:hAnsi="ＭＳ 明朝"/>
          <w:spacing w:val="4"/>
          <w:szCs w:val="24"/>
        </w:rPr>
      </w:pPr>
      <w:r w:rsidRPr="00A77631">
        <w:rPr>
          <w:rFonts w:hAnsi="ＭＳ 明朝" w:hint="eastAsia"/>
          <w:spacing w:val="4"/>
          <w:szCs w:val="24"/>
        </w:rPr>
        <w:t xml:space="preserve">　　平成</w:t>
      </w:r>
      <w:r w:rsidR="00B14E98" w:rsidRPr="00A77631">
        <w:rPr>
          <w:rFonts w:hAnsi="ＭＳ 明朝" w:hint="eastAsia"/>
          <w:spacing w:val="4"/>
          <w:szCs w:val="24"/>
        </w:rPr>
        <w:t>25</w:t>
      </w:r>
      <w:r w:rsidR="00EC2CCA" w:rsidRPr="00A77631">
        <w:rPr>
          <w:rFonts w:hAnsi="ＭＳ 明朝" w:hint="eastAsia"/>
          <w:spacing w:val="4"/>
          <w:szCs w:val="24"/>
        </w:rPr>
        <w:t>年度の業務実績は、給水人口が</w:t>
      </w:r>
      <w:r w:rsidR="001230BD" w:rsidRPr="00A77631">
        <w:rPr>
          <w:rFonts w:hAnsi="ＭＳ 明朝" w:hint="eastAsia"/>
          <w:spacing w:val="4"/>
          <w:szCs w:val="24"/>
        </w:rPr>
        <w:t>150,047</w:t>
      </w:r>
      <w:r w:rsidRPr="00A77631">
        <w:rPr>
          <w:rFonts w:hAnsi="ＭＳ 明朝" w:hint="eastAsia"/>
          <w:spacing w:val="4"/>
          <w:szCs w:val="24"/>
        </w:rPr>
        <w:t>人で、前年度に比べ</w:t>
      </w:r>
      <w:r w:rsidR="00C66063" w:rsidRPr="00A77631">
        <w:rPr>
          <w:rFonts w:hAnsi="ＭＳ 明朝" w:hint="eastAsia"/>
          <w:spacing w:val="4"/>
          <w:szCs w:val="24"/>
        </w:rPr>
        <w:t>887</w:t>
      </w:r>
      <w:r w:rsidR="002359C2">
        <w:rPr>
          <w:rFonts w:hAnsi="ＭＳ 明朝" w:hint="eastAsia"/>
          <w:spacing w:val="4"/>
          <w:szCs w:val="24"/>
        </w:rPr>
        <w:t>人(</w:t>
      </w:r>
      <w:r w:rsidRPr="00A77631">
        <w:rPr>
          <w:rFonts w:hAnsi="ＭＳ 明朝" w:hint="eastAsia"/>
          <w:spacing w:val="4"/>
          <w:szCs w:val="24"/>
        </w:rPr>
        <w:t>△</w:t>
      </w:r>
      <w:r w:rsidR="00C66063" w:rsidRPr="00A77631">
        <w:rPr>
          <w:rFonts w:hAnsi="ＭＳ 明朝" w:hint="eastAsia"/>
          <w:spacing w:val="4"/>
          <w:szCs w:val="24"/>
        </w:rPr>
        <w:t>0.6</w:t>
      </w:r>
      <w:r w:rsidR="002359C2">
        <w:rPr>
          <w:rFonts w:hAnsi="ＭＳ 明朝" w:hint="eastAsia"/>
          <w:spacing w:val="4"/>
          <w:szCs w:val="24"/>
        </w:rPr>
        <w:t>％)</w:t>
      </w:r>
      <w:r w:rsidR="00EC2CCA" w:rsidRPr="00A77631">
        <w:rPr>
          <w:rFonts w:hAnsi="ＭＳ 明朝" w:hint="eastAsia"/>
          <w:spacing w:val="4"/>
          <w:szCs w:val="24"/>
        </w:rPr>
        <w:t>、行政区域内人口が</w:t>
      </w:r>
      <w:r w:rsidR="001230BD" w:rsidRPr="00A77631">
        <w:rPr>
          <w:rFonts w:hAnsi="ＭＳ 明朝" w:hint="eastAsia"/>
          <w:spacing w:val="4"/>
          <w:szCs w:val="24"/>
        </w:rPr>
        <w:t>163,081</w:t>
      </w:r>
      <w:r w:rsidRPr="00A77631">
        <w:rPr>
          <w:rFonts w:hAnsi="ＭＳ 明朝" w:hint="eastAsia"/>
          <w:spacing w:val="4"/>
          <w:szCs w:val="24"/>
        </w:rPr>
        <w:t>人で、前年度に比べ</w:t>
      </w:r>
      <w:r w:rsidR="001230BD" w:rsidRPr="00A77631">
        <w:rPr>
          <w:rFonts w:hAnsi="ＭＳ 明朝" w:hint="eastAsia"/>
          <w:spacing w:val="4"/>
          <w:szCs w:val="24"/>
        </w:rPr>
        <w:t>1,081</w:t>
      </w:r>
      <w:r w:rsidR="002359C2">
        <w:rPr>
          <w:rFonts w:hAnsi="ＭＳ 明朝" w:hint="eastAsia"/>
          <w:spacing w:val="4"/>
          <w:szCs w:val="24"/>
        </w:rPr>
        <w:t>人(</w:t>
      </w:r>
      <w:r w:rsidRPr="00A77631">
        <w:rPr>
          <w:rFonts w:hAnsi="ＭＳ 明朝" w:hint="eastAsia"/>
          <w:spacing w:val="4"/>
          <w:szCs w:val="24"/>
        </w:rPr>
        <w:t>△</w:t>
      </w:r>
      <w:r w:rsidR="001230BD" w:rsidRPr="00A77631">
        <w:rPr>
          <w:rFonts w:hAnsi="ＭＳ 明朝" w:hint="eastAsia"/>
          <w:spacing w:val="4"/>
          <w:szCs w:val="24"/>
        </w:rPr>
        <w:t>0.7</w:t>
      </w:r>
      <w:r w:rsidR="002359C2">
        <w:rPr>
          <w:rFonts w:hAnsi="ＭＳ 明朝" w:hint="eastAsia"/>
          <w:spacing w:val="4"/>
          <w:szCs w:val="24"/>
        </w:rPr>
        <w:t>％)</w:t>
      </w:r>
      <w:r w:rsidRPr="00A77631">
        <w:rPr>
          <w:rFonts w:hAnsi="ＭＳ 明朝" w:hint="eastAsia"/>
          <w:spacing w:val="4"/>
          <w:szCs w:val="24"/>
        </w:rPr>
        <w:t>とそれぞれ減少し</w:t>
      </w:r>
      <w:r w:rsidR="00EC2CCA" w:rsidRPr="00A77631">
        <w:rPr>
          <w:rFonts w:hAnsi="ＭＳ 明朝" w:hint="eastAsia"/>
          <w:spacing w:val="4"/>
          <w:szCs w:val="24"/>
        </w:rPr>
        <w:t>たものの</w:t>
      </w:r>
      <w:r w:rsidRPr="00A77631">
        <w:rPr>
          <w:rFonts w:hAnsi="ＭＳ 明朝" w:hint="eastAsia"/>
          <w:spacing w:val="4"/>
          <w:szCs w:val="24"/>
        </w:rPr>
        <w:t>、普及率は</w:t>
      </w:r>
      <w:r w:rsidR="001230BD" w:rsidRPr="00A77631">
        <w:rPr>
          <w:rFonts w:hAnsi="ＭＳ 明朝" w:hint="eastAsia"/>
          <w:spacing w:val="4"/>
          <w:szCs w:val="24"/>
        </w:rPr>
        <w:t>92.0％と前年度に比べ0.1ポイント上昇している。</w:t>
      </w:r>
    </w:p>
    <w:p w:rsidR="00B818E2" w:rsidRPr="00A77631" w:rsidRDefault="00E205A2" w:rsidP="00274F67">
      <w:pPr>
        <w:ind w:left="227" w:hangingChars="100" w:hanging="227"/>
        <w:rPr>
          <w:rFonts w:hAnsi="ＭＳ 明朝"/>
          <w:spacing w:val="4"/>
          <w:szCs w:val="24"/>
        </w:rPr>
      </w:pPr>
      <w:r w:rsidRPr="00A77631">
        <w:rPr>
          <w:rFonts w:hAnsi="ＭＳ 明朝" w:hint="eastAsia"/>
          <w:spacing w:val="4"/>
          <w:szCs w:val="24"/>
        </w:rPr>
        <w:t xml:space="preserve">　　</w:t>
      </w:r>
      <w:r w:rsidRPr="002359C2">
        <w:rPr>
          <w:rFonts w:hAnsi="ＭＳ 明朝" w:hint="eastAsia"/>
          <w:spacing w:val="6"/>
          <w:kern w:val="0"/>
          <w:szCs w:val="24"/>
          <w:fitText w:val="9038" w:id="659827457"/>
        </w:rPr>
        <w:t>給水栓数は</w:t>
      </w:r>
      <w:r w:rsidR="001230BD" w:rsidRPr="002359C2">
        <w:rPr>
          <w:rFonts w:hAnsi="ＭＳ 明朝" w:hint="eastAsia"/>
          <w:spacing w:val="6"/>
          <w:kern w:val="0"/>
          <w:szCs w:val="24"/>
          <w:fitText w:val="9038" w:id="659827457"/>
        </w:rPr>
        <w:t>62,945</w:t>
      </w:r>
      <w:r w:rsidRPr="002359C2">
        <w:rPr>
          <w:rFonts w:hAnsi="ＭＳ 明朝" w:hint="eastAsia"/>
          <w:spacing w:val="6"/>
          <w:kern w:val="0"/>
          <w:szCs w:val="24"/>
          <w:fitText w:val="9038" w:id="659827457"/>
        </w:rPr>
        <w:t>栓で、前年度に比べ</w:t>
      </w:r>
      <w:r w:rsidR="001230BD" w:rsidRPr="002359C2">
        <w:rPr>
          <w:rFonts w:hAnsi="ＭＳ 明朝" w:hint="eastAsia"/>
          <w:spacing w:val="6"/>
          <w:kern w:val="0"/>
          <w:szCs w:val="24"/>
          <w:fitText w:val="9038" w:id="659827457"/>
        </w:rPr>
        <w:t>358</w:t>
      </w:r>
      <w:r w:rsidR="002359C2" w:rsidRPr="002359C2">
        <w:rPr>
          <w:rFonts w:hAnsi="ＭＳ 明朝" w:hint="eastAsia"/>
          <w:spacing w:val="6"/>
          <w:kern w:val="0"/>
          <w:szCs w:val="24"/>
          <w:fitText w:val="9038" w:id="659827457"/>
        </w:rPr>
        <w:t>栓(</w:t>
      </w:r>
      <w:r w:rsidRPr="002359C2">
        <w:rPr>
          <w:rFonts w:hAnsi="ＭＳ 明朝" w:hint="eastAsia"/>
          <w:spacing w:val="6"/>
          <w:kern w:val="0"/>
          <w:szCs w:val="24"/>
          <w:fitText w:val="9038" w:id="659827457"/>
        </w:rPr>
        <w:t>0.6</w:t>
      </w:r>
      <w:r w:rsidR="002359C2" w:rsidRPr="002359C2">
        <w:rPr>
          <w:rFonts w:hAnsi="ＭＳ 明朝" w:hint="eastAsia"/>
          <w:spacing w:val="6"/>
          <w:kern w:val="0"/>
          <w:szCs w:val="24"/>
          <w:fitText w:val="9038" w:id="659827457"/>
        </w:rPr>
        <w:t>％)</w:t>
      </w:r>
      <w:r w:rsidRPr="002359C2">
        <w:rPr>
          <w:rFonts w:hAnsi="ＭＳ 明朝" w:hint="eastAsia"/>
          <w:spacing w:val="6"/>
          <w:kern w:val="0"/>
          <w:szCs w:val="24"/>
          <w:fitText w:val="9038" w:id="659827457"/>
        </w:rPr>
        <w:t>増加し、導・送・配水管</w:t>
      </w:r>
      <w:r w:rsidRPr="002359C2">
        <w:rPr>
          <w:rFonts w:hAnsi="ＭＳ 明朝" w:hint="eastAsia"/>
          <w:spacing w:val="-11"/>
          <w:kern w:val="0"/>
          <w:szCs w:val="24"/>
          <w:fitText w:val="9038" w:id="659827457"/>
        </w:rPr>
        <w:t>の</w:t>
      </w:r>
    </w:p>
    <w:p w:rsidR="00BD4BD4" w:rsidRPr="00A77631" w:rsidRDefault="00E205A2" w:rsidP="00274F67">
      <w:pPr>
        <w:ind w:leftChars="100" w:left="219"/>
        <w:rPr>
          <w:rFonts w:hAnsi="ＭＳ 明朝"/>
          <w:spacing w:val="4"/>
          <w:szCs w:val="24"/>
        </w:rPr>
      </w:pPr>
      <w:r w:rsidRPr="00A77631">
        <w:rPr>
          <w:rFonts w:hAnsi="ＭＳ 明朝" w:hint="eastAsia"/>
          <w:spacing w:val="4"/>
          <w:szCs w:val="24"/>
        </w:rPr>
        <w:t>総延長は、</w:t>
      </w:r>
      <w:r w:rsidR="00FD538E" w:rsidRPr="00A77631">
        <w:rPr>
          <w:rFonts w:hAnsi="ＭＳ 明朝" w:hint="eastAsia"/>
          <w:spacing w:val="4"/>
          <w:szCs w:val="24"/>
        </w:rPr>
        <w:t>1,083.6</w:t>
      </w:r>
      <w:r w:rsidRPr="00A77631">
        <w:rPr>
          <w:rFonts w:hAnsi="ＭＳ 明朝" w:hint="eastAsia"/>
          <w:spacing w:val="4"/>
          <w:szCs w:val="24"/>
        </w:rPr>
        <w:t>㎞</w:t>
      </w:r>
      <w:r w:rsidR="00EC351A">
        <w:rPr>
          <w:rFonts w:hAnsi="ＭＳ 明朝" w:hint="eastAsia"/>
          <w:spacing w:val="4"/>
          <w:szCs w:val="24"/>
        </w:rPr>
        <w:t>となり</w:t>
      </w:r>
      <w:r w:rsidRPr="00A77631">
        <w:rPr>
          <w:rFonts w:hAnsi="ＭＳ 明朝" w:hint="eastAsia"/>
          <w:spacing w:val="4"/>
          <w:szCs w:val="24"/>
        </w:rPr>
        <w:t>、前年度に比べ</w:t>
      </w:r>
      <w:r w:rsidR="00FD538E" w:rsidRPr="00A77631">
        <w:rPr>
          <w:rFonts w:hAnsi="ＭＳ 明朝" w:hint="eastAsia"/>
          <w:spacing w:val="4"/>
          <w:szCs w:val="24"/>
        </w:rPr>
        <w:t>7.3</w:t>
      </w:r>
      <w:r w:rsidR="002359C2">
        <w:rPr>
          <w:rFonts w:hAnsi="ＭＳ 明朝" w:hint="eastAsia"/>
          <w:spacing w:val="4"/>
          <w:szCs w:val="24"/>
        </w:rPr>
        <w:t>㎞(</w:t>
      </w:r>
      <w:r w:rsidRPr="00A77631">
        <w:rPr>
          <w:rFonts w:hAnsi="ＭＳ 明朝" w:hint="eastAsia"/>
          <w:spacing w:val="4"/>
          <w:szCs w:val="24"/>
        </w:rPr>
        <w:t>0.</w:t>
      </w:r>
      <w:r w:rsidR="00FD538E" w:rsidRPr="00A77631">
        <w:rPr>
          <w:rFonts w:hAnsi="ＭＳ 明朝" w:hint="eastAsia"/>
          <w:spacing w:val="4"/>
          <w:szCs w:val="24"/>
        </w:rPr>
        <w:t>7</w:t>
      </w:r>
      <w:r w:rsidR="002359C2">
        <w:rPr>
          <w:rFonts w:hAnsi="ＭＳ 明朝" w:hint="eastAsia"/>
          <w:spacing w:val="4"/>
          <w:szCs w:val="24"/>
        </w:rPr>
        <w:t>％)</w:t>
      </w:r>
      <w:r w:rsidRPr="00A77631">
        <w:rPr>
          <w:rFonts w:hAnsi="ＭＳ 明朝" w:hint="eastAsia"/>
          <w:spacing w:val="4"/>
          <w:szCs w:val="24"/>
        </w:rPr>
        <w:t>延びている。</w:t>
      </w:r>
    </w:p>
    <w:p w:rsidR="00E205A2" w:rsidRPr="003C0C23" w:rsidRDefault="00EC2CCA" w:rsidP="00274F67">
      <w:pPr>
        <w:ind w:leftChars="59" w:left="224" w:hangingChars="42" w:hanging="95"/>
        <w:rPr>
          <w:rFonts w:hAnsi="ＭＳ 明朝"/>
          <w:szCs w:val="24"/>
        </w:rPr>
      </w:pPr>
      <w:r w:rsidRPr="00A77631">
        <w:rPr>
          <w:rFonts w:hAnsi="ＭＳ 明朝" w:hint="eastAsia"/>
          <w:spacing w:val="4"/>
          <w:szCs w:val="24"/>
        </w:rPr>
        <w:t xml:space="preserve">　　</w:t>
      </w:r>
      <w:r w:rsidRPr="003C0C23">
        <w:rPr>
          <w:rFonts w:hAnsi="ＭＳ 明朝" w:hint="eastAsia"/>
          <w:szCs w:val="24"/>
        </w:rPr>
        <w:t>配水状況</w:t>
      </w:r>
      <w:r w:rsidR="003C0C23" w:rsidRPr="003C0C23">
        <w:rPr>
          <w:rFonts w:hAnsi="ＭＳ 明朝" w:hint="eastAsia"/>
          <w:szCs w:val="24"/>
        </w:rPr>
        <w:t>で</w:t>
      </w:r>
      <w:r w:rsidRPr="003C0C23">
        <w:rPr>
          <w:rFonts w:hAnsi="ＭＳ 明朝" w:hint="eastAsia"/>
          <w:szCs w:val="24"/>
        </w:rPr>
        <w:t>は、総配水量が</w:t>
      </w:r>
      <w:r w:rsidR="003C0C23" w:rsidRPr="003C0C23">
        <w:rPr>
          <w:rFonts w:hAnsi="ＭＳ 明朝" w:hint="eastAsia"/>
          <w:szCs w:val="24"/>
        </w:rPr>
        <w:t xml:space="preserve"> </w:t>
      </w:r>
      <w:r w:rsidR="009F0FE7" w:rsidRPr="003C0C23">
        <w:rPr>
          <w:rFonts w:hAnsi="ＭＳ 明朝" w:hint="eastAsia"/>
          <w:szCs w:val="24"/>
        </w:rPr>
        <w:t>16,063,270</w:t>
      </w:r>
      <w:r w:rsidR="00A77631" w:rsidRPr="003C0C23">
        <w:rPr>
          <w:rFonts w:hAnsi="ＭＳ 明朝" w:hint="eastAsia"/>
          <w:szCs w:val="24"/>
        </w:rPr>
        <w:t>㎥</w:t>
      </w:r>
      <w:r w:rsidR="003C0C23" w:rsidRPr="003C0C23">
        <w:rPr>
          <w:rFonts w:hAnsi="ＭＳ 明朝" w:hint="eastAsia"/>
          <w:szCs w:val="24"/>
        </w:rPr>
        <w:t xml:space="preserve"> </w:t>
      </w:r>
      <w:r w:rsidR="00A77631" w:rsidRPr="003C0C23">
        <w:rPr>
          <w:rFonts w:hAnsi="ＭＳ 明朝" w:hint="eastAsia"/>
          <w:szCs w:val="24"/>
        </w:rPr>
        <w:t>となっており</w:t>
      </w:r>
      <w:r w:rsidR="00E205A2" w:rsidRPr="003C0C23">
        <w:rPr>
          <w:rFonts w:hAnsi="ＭＳ 明朝" w:hint="eastAsia"/>
          <w:szCs w:val="24"/>
        </w:rPr>
        <w:t>、前年度に比べ</w:t>
      </w:r>
      <w:r w:rsidR="003C0C23" w:rsidRPr="003C0C23">
        <w:rPr>
          <w:rFonts w:hAnsi="ＭＳ 明朝" w:hint="eastAsia"/>
          <w:szCs w:val="24"/>
        </w:rPr>
        <w:t xml:space="preserve"> </w:t>
      </w:r>
      <w:r w:rsidR="009F0FE7" w:rsidRPr="003C0C23">
        <w:rPr>
          <w:rFonts w:hAnsi="ＭＳ 明朝" w:hint="eastAsia"/>
          <w:szCs w:val="24"/>
        </w:rPr>
        <w:t>336,750</w:t>
      </w:r>
      <w:r w:rsidR="00091E33">
        <w:rPr>
          <w:rFonts w:hAnsi="ＭＳ 明朝" w:hint="eastAsia"/>
          <w:szCs w:val="24"/>
        </w:rPr>
        <w:t>㎥(</w:t>
      </w:r>
      <w:r w:rsidR="00E205A2" w:rsidRPr="003C0C23">
        <w:rPr>
          <w:rFonts w:hAnsi="ＭＳ 明朝" w:hint="eastAsia"/>
          <w:szCs w:val="24"/>
        </w:rPr>
        <w:t>△</w:t>
      </w:r>
      <w:r w:rsidR="009F0FE7" w:rsidRPr="003C0C23">
        <w:rPr>
          <w:rFonts w:hAnsi="ＭＳ 明朝" w:hint="eastAsia"/>
          <w:szCs w:val="24"/>
        </w:rPr>
        <w:t>2.1</w:t>
      </w:r>
      <w:r w:rsidRPr="003C0C23">
        <w:rPr>
          <w:rFonts w:hAnsi="ＭＳ 明朝" w:hint="eastAsia"/>
          <w:szCs w:val="24"/>
        </w:rPr>
        <w:t>％）、有収水量が</w:t>
      </w:r>
      <w:r w:rsidR="009F0FE7" w:rsidRPr="003C0C23">
        <w:rPr>
          <w:rFonts w:hAnsi="ＭＳ 明朝" w:hint="eastAsia"/>
          <w:szCs w:val="24"/>
        </w:rPr>
        <w:t>14,492,977</w:t>
      </w:r>
      <w:r w:rsidR="00E205A2" w:rsidRPr="003C0C23">
        <w:rPr>
          <w:rFonts w:hAnsi="ＭＳ 明朝" w:hint="eastAsia"/>
          <w:szCs w:val="24"/>
        </w:rPr>
        <w:t>㎥で、</w:t>
      </w:r>
      <w:r w:rsidR="009F0FE7" w:rsidRPr="003C0C23">
        <w:rPr>
          <w:rFonts w:hAnsi="ＭＳ 明朝" w:hint="eastAsia"/>
          <w:szCs w:val="24"/>
        </w:rPr>
        <w:t>283,381</w:t>
      </w:r>
      <w:r w:rsidR="002359C2">
        <w:rPr>
          <w:rFonts w:hAnsi="ＭＳ 明朝" w:hint="eastAsia"/>
          <w:szCs w:val="24"/>
        </w:rPr>
        <w:t>㎥(</w:t>
      </w:r>
      <w:r w:rsidR="00E205A2" w:rsidRPr="003C0C23">
        <w:rPr>
          <w:rFonts w:hAnsi="ＭＳ 明朝" w:hint="eastAsia"/>
          <w:szCs w:val="24"/>
        </w:rPr>
        <w:t>△</w:t>
      </w:r>
      <w:r w:rsidR="009F0FE7" w:rsidRPr="003C0C23">
        <w:rPr>
          <w:rFonts w:hAnsi="ＭＳ 明朝" w:hint="eastAsia"/>
          <w:szCs w:val="24"/>
        </w:rPr>
        <w:t>1.9</w:t>
      </w:r>
      <w:r w:rsidR="002359C2">
        <w:rPr>
          <w:rFonts w:hAnsi="ＭＳ 明朝" w:hint="eastAsia"/>
          <w:szCs w:val="24"/>
        </w:rPr>
        <w:t>％)</w:t>
      </w:r>
      <w:r w:rsidR="00FD2036" w:rsidRPr="003C0C23">
        <w:rPr>
          <w:rFonts w:hAnsi="ＭＳ 明朝" w:hint="eastAsia"/>
          <w:szCs w:val="24"/>
        </w:rPr>
        <w:t>とそれぞれ減少している。</w:t>
      </w:r>
    </w:p>
    <w:p w:rsidR="00FD2036" w:rsidRPr="003C0C23" w:rsidRDefault="00FD2036" w:rsidP="00274F67">
      <w:pPr>
        <w:ind w:left="227" w:hangingChars="100" w:hanging="227"/>
        <w:rPr>
          <w:rFonts w:hAnsi="ＭＳ 明朝"/>
          <w:szCs w:val="24"/>
        </w:rPr>
      </w:pPr>
      <w:r w:rsidRPr="00A77631">
        <w:rPr>
          <w:rFonts w:hAnsi="ＭＳ 明朝" w:hint="eastAsia"/>
          <w:spacing w:val="4"/>
          <w:szCs w:val="24"/>
        </w:rPr>
        <w:t xml:space="preserve">　　</w:t>
      </w:r>
      <w:r w:rsidRPr="003C0C23">
        <w:rPr>
          <w:rFonts w:hAnsi="ＭＳ 明朝" w:hint="eastAsia"/>
          <w:szCs w:val="24"/>
        </w:rPr>
        <w:t>これは、給水人口の減少や</w:t>
      </w:r>
      <w:r w:rsidR="00BD413C" w:rsidRPr="003C0C23">
        <w:rPr>
          <w:rFonts w:hAnsi="ＭＳ 明朝" w:hint="eastAsia"/>
          <w:szCs w:val="24"/>
        </w:rPr>
        <w:t>大口需要者の専用水道への転換</w:t>
      </w:r>
      <w:r w:rsidR="003C0C23" w:rsidRPr="003C0C23">
        <w:rPr>
          <w:rFonts w:hAnsi="ＭＳ 明朝" w:hint="eastAsia"/>
          <w:szCs w:val="24"/>
        </w:rPr>
        <w:t>などから、</w:t>
      </w:r>
      <w:r w:rsidR="00EC2CCA" w:rsidRPr="003C0C23">
        <w:rPr>
          <w:rFonts w:hAnsi="ＭＳ 明朝" w:hint="eastAsia"/>
          <w:szCs w:val="24"/>
        </w:rPr>
        <w:t>水道使用量が</w:t>
      </w:r>
      <w:r w:rsidR="003C0C23">
        <w:rPr>
          <w:rFonts w:hAnsi="ＭＳ 明朝" w:hint="eastAsia"/>
          <w:szCs w:val="24"/>
        </w:rPr>
        <w:t xml:space="preserve">  </w:t>
      </w:r>
      <w:r w:rsidR="00EC2CCA" w:rsidRPr="003C0C23">
        <w:rPr>
          <w:rFonts w:hAnsi="ＭＳ 明朝" w:hint="eastAsia"/>
          <w:szCs w:val="24"/>
        </w:rPr>
        <w:t>減少したことによるものであるが、</w:t>
      </w:r>
      <w:r w:rsidRPr="003C0C23">
        <w:rPr>
          <w:rFonts w:hAnsi="ＭＳ 明朝" w:hint="eastAsia"/>
          <w:szCs w:val="24"/>
        </w:rPr>
        <w:t>有収率は90.</w:t>
      </w:r>
      <w:r w:rsidR="009F0FE7" w:rsidRPr="003C0C23">
        <w:rPr>
          <w:rFonts w:hAnsi="ＭＳ 明朝" w:hint="eastAsia"/>
          <w:szCs w:val="24"/>
        </w:rPr>
        <w:t>2</w:t>
      </w:r>
      <w:r w:rsidRPr="003C0C23">
        <w:rPr>
          <w:rFonts w:hAnsi="ＭＳ 明朝" w:hint="eastAsia"/>
          <w:szCs w:val="24"/>
        </w:rPr>
        <w:t>％、前年度に比べ</w:t>
      </w:r>
      <w:r w:rsidR="003C0C23" w:rsidRPr="003C0C23">
        <w:rPr>
          <w:rFonts w:hAnsi="ＭＳ 明朝" w:hint="eastAsia"/>
          <w:szCs w:val="24"/>
        </w:rPr>
        <w:t xml:space="preserve"> </w:t>
      </w:r>
      <w:r w:rsidRPr="003C0C23">
        <w:rPr>
          <w:rFonts w:hAnsi="ＭＳ 明朝" w:hint="eastAsia"/>
          <w:szCs w:val="24"/>
        </w:rPr>
        <w:t>0.1ポイント上昇している。</w:t>
      </w:r>
    </w:p>
    <w:p w:rsidR="002359C2" w:rsidRDefault="00A77631" w:rsidP="00274F67">
      <w:pPr>
        <w:ind w:left="227" w:hangingChars="100" w:hanging="227"/>
        <w:jc w:val="distribute"/>
        <w:rPr>
          <w:rFonts w:hAnsi="ＭＳ 明朝"/>
          <w:spacing w:val="8"/>
          <w:szCs w:val="24"/>
        </w:rPr>
      </w:pPr>
      <w:r w:rsidRPr="00A77631">
        <w:rPr>
          <w:rFonts w:hAnsi="ＭＳ 明朝" w:hint="eastAsia"/>
          <w:spacing w:val="4"/>
          <w:szCs w:val="24"/>
        </w:rPr>
        <w:t xml:space="preserve">　　</w:t>
      </w:r>
      <w:r w:rsidR="00EC2CCA" w:rsidRPr="00A77631">
        <w:rPr>
          <w:rFonts w:hAnsi="ＭＳ 明朝" w:hint="eastAsia"/>
          <w:spacing w:val="8"/>
          <w:szCs w:val="24"/>
        </w:rPr>
        <w:t>収益の状況は、</w:t>
      </w:r>
      <w:r w:rsidR="00FD2036" w:rsidRPr="00A77631">
        <w:rPr>
          <w:rFonts w:hAnsi="ＭＳ 明朝" w:hint="eastAsia"/>
          <w:spacing w:val="8"/>
          <w:szCs w:val="24"/>
        </w:rPr>
        <w:t>総収益</w:t>
      </w:r>
      <w:r w:rsidR="00BD413C" w:rsidRPr="00A77631">
        <w:rPr>
          <w:rFonts w:hAnsi="ＭＳ 明朝" w:hint="eastAsia"/>
          <w:spacing w:val="8"/>
          <w:szCs w:val="24"/>
        </w:rPr>
        <w:t>2,978,210</w:t>
      </w:r>
      <w:r w:rsidR="00FD2036" w:rsidRPr="00A77631">
        <w:rPr>
          <w:rFonts w:hAnsi="ＭＳ 明朝" w:hint="eastAsia"/>
          <w:spacing w:val="8"/>
          <w:szCs w:val="24"/>
        </w:rPr>
        <w:t>千円</w:t>
      </w:r>
      <w:r w:rsidR="008119ED">
        <w:rPr>
          <w:rFonts w:hAnsi="ＭＳ 明朝" w:hint="eastAsia"/>
          <w:spacing w:val="8"/>
          <w:szCs w:val="24"/>
        </w:rPr>
        <w:t>に対し</w:t>
      </w:r>
      <w:r w:rsidR="00FD2036" w:rsidRPr="00A77631">
        <w:rPr>
          <w:rFonts w:hAnsi="ＭＳ 明朝" w:hint="eastAsia"/>
          <w:spacing w:val="8"/>
          <w:szCs w:val="24"/>
        </w:rPr>
        <w:t>総費用</w:t>
      </w:r>
      <w:r w:rsidR="008119ED">
        <w:rPr>
          <w:rFonts w:hAnsi="ＭＳ 明朝" w:hint="eastAsia"/>
          <w:spacing w:val="8"/>
          <w:szCs w:val="24"/>
        </w:rPr>
        <w:t>は</w:t>
      </w:r>
      <w:r w:rsidR="00BD413C" w:rsidRPr="00A77631">
        <w:rPr>
          <w:rFonts w:hAnsi="ＭＳ 明朝" w:hint="eastAsia"/>
          <w:spacing w:val="8"/>
          <w:szCs w:val="24"/>
        </w:rPr>
        <w:t>2,883,529</w:t>
      </w:r>
      <w:r w:rsidR="00FD2036" w:rsidRPr="00A77631">
        <w:rPr>
          <w:rFonts w:hAnsi="ＭＳ 明朝" w:hint="eastAsia"/>
          <w:spacing w:val="8"/>
          <w:szCs w:val="24"/>
        </w:rPr>
        <w:t>千円</w:t>
      </w:r>
      <w:r w:rsidRPr="00A77631">
        <w:rPr>
          <w:rFonts w:hAnsi="ＭＳ 明朝" w:hint="eastAsia"/>
          <w:spacing w:val="8"/>
          <w:szCs w:val="24"/>
        </w:rPr>
        <w:t>となって</w:t>
      </w:r>
    </w:p>
    <w:p w:rsidR="008119ED" w:rsidRDefault="002359C2" w:rsidP="00274F67">
      <w:pPr>
        <w:ind w:left="235" w:hangingChars="100" w:hanging="235"/>
        <w:jc w:val="distribute"/>
        <w:rPr>
          <w:rFonts w:hAnsi="ＭＳ 明朝"/>
          <w:spacing w:val="8"/>
          <w:szCs w:val="24"/>
        </w:rPr>
      </w:pPr>
      <w:r>
        <w:rPr>
          <w:rFonts w:hAnsi="ＭＳ 明朝" w:hint="eastAsia"/>
          <w:spacing w:val="8"/>
          <w:szCs w:val="24"/>
        </w:rPr>
        <w:t xml:space="preserve">　</w:t>
      </w:r>
      <w:r w:rsidR="00A77631" w:rsidRPr="00A77631">
        <w:rPr>
          <w:rFonts w:hAnsi="ＭＳ 明朝" w:hint="eastAsia"/>
          <w:spacing w:val="8"/>
          <w:szCs w:val="24"/>
        </w:rPr>
        <w:t>おり</w:t>
      </w:r>
      <w:r w:rsidR="004B3A3D" w:rsidRPr="00A77631">
        <w:rPr>
          <w:rFonts w:hAnsi="ＭＳ 明朝" w:hint="eastAsia"/>
          <w:spacing w:val="8"/>
          <w:szCs w:val="24"/>
        </w:rPr>
        <w:t>、</w:t>
      </w:r>
      <w:r w:rsidR="00BD413C" w:rsidRPr="00A77631">
        <w:rPr>
          <w:rFonts w:hAnsi="ＭＳ 明朝" w:hint="eastAsia"/>
          <w:spacing w:val="8"/>
          <w:szCs w:val="24"/>
        </w:rPr>
        <w:t>94,681</w:t>
      </w:r>
      <w:r w:rsidR="00FD2036" w:rsidRPr="00A77631">
        <w:rPr>
          <w:rFonts w:hAnsi="ＭＳ 明朝" w:hint="eastAsia"/>
          <w:spacing w:val="8"/>
          <w:szCs w:val="24"/>
        </w:rPr>
        <w:t>千円の当年度純利益が生じている</w:t>
      </w:r>
      <w:r w:rsidR="008119ED">
        <w:rPr>
          <w:rFonts w:hAnsi="ＭＳ 明朝" w:hint="eastAsia"/>
          <w:spacing w:val="8"/>
          <w:szCs w:val="24"/>
        </w:rPr>
        <w:t>が、</w:t>
      </w:r>
      <w:r w:rsidR="008119ED" w:rsidRPr="00A77631">
        <w:rPr>
          <w:rFonts w:hAnsi="ＭＳ 明朝" w:hint="eastAsia"/>
          <w:spacing w:val="8"/>
          <w:szCs w:val="24"/>
        </w:rPr>
        <w:t>前年度に比べ38,685千円</w:t>
      </w:r>
      <w:r w:rsidR="008119ED">
        <w:rPr>
          <w:rFonts w:hAnsi="ＭＳ 明朝" w:hint="eastAsia"/>
          <w:spacing w:val="8"/>
          <w:szCs w:val="24"/>
        </w:rPr>
        <w:t xml:space="preserve">　　</w:t>
      </w:r>
    </w:p>
    <w:p w:rsidR="00FD2036" w:rsidRPr="00A77631" w:rsidRDefault="008F2862" w:rsidP="00274F67">
      <w:pPr>
        <w:ind w:leftChars="51" w:left="112" w:firstLineChars="62" w:firstLine="146"/>
        <w:rPr>
          <w:rFonts w:hAnsi="ＭＳ 明朝"/>
          <w:spacing w:val="8"/>
          <w:szCs w:val="24"/>
        </w:rPr>
      </w:pPr>
      <w:r>
        <w:rPr>
          <w:rFonts w:hAnsi="ＭＳ 明朝" w:hint="eastAsia"/>
          <w:spacing w:val="8"/>
          <w:szCs w:val="24"/>
        </w:rPr>
        <w:t>(</w:t>
      </w:r>
      <w:r w:rsidR="008119ED">
        <w:rPr>
          <w:rFonts w:hAnsi="ＭＳ 明朝" w:hint="eastAsia"/>
          <w:spacing w:val="8"/>
          <w:szCs w:val="24"/>
        </w:rPr>
        <w:t>△29.0％</w:t>
      </w:r>
      <w:r>
        <w:rPr>
          <w:rFonts w:hAnsi="ＭＳ 明朝" w:hint="eastAsia"/>
          <w:spacing w:val="8"/>
          <w:szCs w:val="24"/>
        </w:rPr>
        <w:t>)</w:t>
      </w:r>
      <w:r w:rsidR="008119ED">
        <w:rPr>
          <w:rFonts w:hAnsi="ＭＳ 明朝" w:hint="eastAsia"/>
          <w:spacing w:val="8"/>
          <w:szCs w:val="24"/>
        </w:rPr>
        <w:t>の</w:t>
      </w:r>
      <w:r w:rsidR="008119ED" w:rsidRPr="00A77631">
        <w:rPr>
          <w:rFonts w:hAnsi="ＭＳ 明朝" w:hint="eastAsia"/>
          <w:spacing w:val="8"/>
          <w:szCs w:val="24"/>
        </w:rPr>
        <w:t>減益</w:t>
      </w:r>
      <w:r w:rsidR="008119ED">
        <w:rPr>
          <w:rFonts w:hAnsi="ＭＳ 明朝" w:hint="eastAsia"/>
          <w:spacing w:val="8"/>
          <w:szCs w:val="24"/>
        </w:rPr>
        <w:t>となっている。</w:t>
      </w:r>
    </w:p>
    <w:p w:rsidR="00E205A2" w:rsidRPr="00A77631" w:rsidRDefault="00E205A2">
      <w:pPr>
        <w:rPr>
          <w:rFonts w:hAnsi="ＭＳ 明朝"/>
          <w:spacing w:val="8"/>
          <w:szCs w:val="24"/>
        </w:rPr>
      </w:pPr>
    </w:p>
    <w:p w:rsidR="00E205A2" w:rsidRPr="008F2862"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3F7D36" w:rsidRDefault="00E205A2">
      <w:pPr>
        <w:rPr>
          <w:sz w:val="22"/>
        </w:rPr>
      </w:pPr>
    </w:p>
    <w:p w:rsidR="00E205A2" w:rsidRPr="00DD1A5E" w:rsidRDefault="00E205A2">
      <w:pPr>
        <w:rPr>
          <w:sz w:val="22"/>
        </w:rPr>
      </w:pPr>
    </w:p>
    <w:p w:rsidR="00E205A2" w:rsidRPr="003F7D36" w:rsidRDefault="00E205A2">
      <w:pPr>
        <w:rPr>
          <w:sz w:val="22"/>
        </w:rPr>
      </w:pPr>
    </w:p>
    <w:p w:rsidR="00E205A2" w:rsidRPr="003F7D36" w:rsidRDefault="00E205A2">
      <w:pPr>
        <w:rPr>
          <w:sz w:val="22"/>
        </w:rPr>
      </w:pPr>
    </w:p>
    <w:p w:rsidR="004F288A" w:rsidRPr="003F7D36" w:rsidRDefault="004F288A">
      <w:pPr>
        <w:rPr>
          <w:sz w:val="22"/>
        </w:rPr>
      </w:pPr>
    </w:p>
    <w:p w:rsidR="004F288A" w:rsidRPr="003F7D36" w:rsidRDefault="004F288A">
      <w:pPr>
        <w:rPr>
          <w:sz w:val="22"/>
        </w:rPr>
      </w:pPr>
    </w:p>
    <w:p w:rsidR="000B1BD0" w:rsidRPr="003F7D36" w:rsidRDefault="000B1BD0">
      <w:pPr>
        <w:rPr>
          <w:sz w:val="22"/>
        </w:rPr>
      </w:pPr>
    </w:p>
    <w:p w:rsidR="000B1BD0" w:rsidRDefault="000B1BD0">
      <w:pPr>
        <w:rPr>
          <w:sz w:val="22"/>
        </w:rPr>
      </w:pPr>
    </w:p>
    <w:p w:rsidR="00DD1A5E" w:rsidRDefault="00DD1A5E">
      <w:pPr>
        <w:rPr>
          <w:sz w:val="22"/>
        </w:rPr>
      </w:pPr>
    </w:p>
    <w:p w:rsidR="00DD1A5E" w:rsidRDefault="00DD1A5E">
      <w:pPr>
        <w:rPr>
          <w:sz w:val="22"/>
        </w:rPr>
      </w:pPr>
    </w:p>
    <w:p w:rsidR="00DD1A5E" w:rsidRDefault="00DD1A5E">
      <w:pPr>
        <w:rPr>
          <w:sz w:val="22"/>
        </w:rPr>
      </w:pPr>
    </w:p>
    <w:p w:rsidR="00DD1A5E" w:rsidRDefault="00DD1A5E">
      <w:pPr>
        <w:rPr>
          <w:sz w:val="22"/>
        </w:rPr>
      </w:pPr>
    </w:p>
    <w:p w:rsidR="00DD1A5E" w:rsidRDefault="00DD1A5E">
      <w:pPr>
        <w:rPr>
          <w:sz w:val="22"/>
        </w:rPr>
      </w:pPr>
    </w:p>
    <w:p w:rsidR="00DD1A5E" w:rsidRDefault="00DD1A5E">
      <w:pPr>
        <w:rPr>
          <w:sz w:val="22"/>
        </w:rPr>
      </w:pPr>
    </w:p>
    <w:p w:rsidR="00DD1A5E" w:rsidRDefault="00DD1A5E">
      <w:pPr>
        <w:rPr>
          <w:sz w:val="22"/>
        </w:rPr>
      </w:pPr>
    </w:p>
    <w:p w:rsidR="00DD1A5E" w:rsidRPr="003F7D36" w:rsidRDefault="00DD1A5E">
      <w:pPr>
        <w:rPr>
          <w:sz w:val="22"/>
        </w:rPr>
      </w:pPr>
    </w:p>
    <w:p w:rsidR="000B1BD0" w:rsidRPr="003F7D36" w:rsidRDefault="000B1BD0">
      <w:pPr>
        <w:rPr>
          <w:sz w:val="22"/>
        </w:rPr>
      </w:pPr>
    </w:p>
    <w:p w:rsidR="004F288A" w:rsidRPr="003F7D36" w:rsidRDefault="004F288A">
      <w:pPr>
        <w:rPr>
          <w:sz w:val="22"/>
        </w:rPr>
      </w:pPr>
    </w:p>
    <w:p w:rsidR="004F288A" w:rsidRDefault="004F288A">
      <w:pPr>
        <w:rPr>
          <w:sz w:val="22"/>
        </w:rPr>
      </w:pPr>
    </w:p>
    <w:p w:rsidR="00274F67" w:rsidRPr="003F7D36" w:rsidRDefault="00274F67">
      <w:pPr>
        <w:rPr>
          <w:sz w:val="22"/>
        </w:rPr>
      </w:pPr>
    </w:p>
    <w:p w:rsidR="00DD1A5E" w:rsidRDefault="00DD1A5E" w:rsidP="00274F67">
      <w:pPr>
        <w:ind w:firstLineChars="100" w:firstLine="219"/>
        <w:rPr>
          <w:rFonts w:ascii="ＭＳ ゴシック" w:eastAsia="ＭＳ ゴシック" w:hAnsi="ＭＳ ゴシック"/>
        </w:rPr>
      </w:pPr>
      <w:r w:rsidRPr="000B1BD0">
        <w:rPr>
          <w:rFonts w:ascii="ＭＳ ゴシック" w:eastAsia="ＭＳ ゴシック" w:hAnsi="ＭＳ ゴシック" w:hint="eastAsia"/>
        </w:rPr>
        <w:lastRenderedPageBreak/>
        <w:t>業務実績</w:t>
      </w:r>
    </w:p>
    <w:p w:rsidR="00DD1A5E" w:rsidRPr="004F10C4" w:rsidRDefault="00DD1A5E" w:rsidP="00DD1A5E">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bookmarkStart w:id="0" w:name="_MON_1435997535"/>
    <w:bookmarkEnd w:id="0"/>
    <w:p w:rsidR="004C3DD0" w:rsidRPr="00980B1E" w:rsidRDefault="00DD1A5E" w:rsidP="004C3DD0">
      <w:pPr>
        <w:tabs>
          <w:tab w:val="left" w:pos="4678"/>
        </w:tabs>
        <w:jc w:val="left"/>
        <w:rPr>
          <w:sz w:val="18"/>
          <w:szCs w:val="18"/>
        </w:rPr>
      </w:pPr>
      <w:r w:rsidRPr="00B03FE6">
        <w:rPr>
          <w:rFonts w:ascii="ＭＳ ゴシック" w:eastAsia="ＭＳ ゴシック" w:hAnsi="ＭＳ ゴシック"/>
          <w:sz w:val="22"/>
        </w:rPr>
        <w:object w:dxaOrig="9590" w:dyaOrig="12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594.75pt" o:ole="">
            <v:imagedata r:id="rId7" o:title=""/>
            <o:lock v:ext="edit" aspectratio="f"/>
          </v:shape>
          <o:OLEObject Type="Embed" ProgID="Excel.Sheet.12" ShapeID="_x0000_i1025" DrawAspect="Content" ObjectID="_1470640272" r:id="rId8"/>
        </w:object>
      </w:r>
      <w:r w:rsidR="004C3DD0" w:rsidRPr="00697423">
        <w:rPr>
          <w:rFonts w:asciiTheme="minorEastAsia" w:eastAsiaTheme="minorEastAsia" w:hAnsiTheme="minorEastAsia" w:hint="eastAsia"/>
          <w:sz w:val="18"/>
          <w:szCs w:val="18"/>
        </w:rPr>
        <w:t>（注</w:t>
      </w:r>
      <w:r w:rsidR="004C3DD0">
        <w:rPr>
          <w:rFonts w:asciiTheme="minorEastAsia" w:eastAsiaTheme="minorEastAsia" w:hAnsiTheme="minorEastAsia" w:hint="eastAsia"/>
          <w:sz w:val="18"/>
          <w:szCs w:val="18"/>
        </w:rPr>
        <w:t xml:space="preserve">）　</w:t>
      </w:r>
      <w:r w:rsidR="004C3DD0">
        <w:rPr>
          <w:rFonts w:hint="eastAsia"/>
          <w:sz w:val="18"/>
          <w:szCs w:val="18"/>
        </w:rPr>
        <w:t xml:space="preserve">１　</w:t>
      </w:r>
      <w:r w:rsidR="004C3DD0" w:rsidRPr="00980B1E">
        <w:rPr>
          <w:rFonts w:hint="eastAsia"/>
          <w:sz w:val="18"/>
          <w:szCs w:val="18"/>
        </w:rPr>
        <w:t>行政区域内人口及び給水人口には、外国人登録者数と区域外給水人口を含む。（各年度末現在）</w:t>
      </w:r>
    </w:p>
    <w:p w:rsidR="004C3DD0" w:rsidRPr="00980B1E" w:rsidRDefault="004C3DD0" w:rsidP="00274F67">
      <w:pPr>
        <w:ind w:firstLineChars="400" w:firstLine="636"/>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4C3DD0" w:rsidRPr="00980B1E" w:rsidRDefault="004C3DD0" w:rsidP="00274F67">
      <w:pPr>
        <w:ind w:firstLineChars="400" w:firstLine="636"/>
        <w:jc w:val="left"/>
        <w:rPr>
          <w:sz w:val="18"/>
          <w:szCs w:val="18"/>
        </w:rPr>
      </w:pPr>
      <w:r w:rsidRPr="00980B1E">
        <w:rPr>
          <w:rFonts w:hint="eastAsia"/>
          <w:sz w:val="18"/>
          <w:szCs w:val="18"/>
        </w:rPr>
        <w:t>３</w:t>
      </w:r>
      <w:r>
        <w:rPr>
          <w:rFonts w:hint="eastAsia"/>
          <w:sz w:val="18"/>
          <w:szCs w:val="18"/>
        </w:rPr>
        <w:t xml:space="preserve">　</w:t>
      </w:r>
      <w:r w:rsidRPr="00980B1E">
        <w:rPr>
          <w:rFonts w:hint="eastAsia"/>
          <w:sz w:val="18"/>
          <w:szCs w:val="18"/>
        </w:rPr>
        <w:t>無収水量とは、有収水量のうち料金徴収の対象とならなかった水量（メーター不感水量、水道事業用や消防用等に使用）</w:t>
      </w:r>
    </w:p>
    <w:p w:rsidR="004C3DD0" w:rsidRPr="00980B1E" w:rsidRDefault="004C3DD0" w:rsidP="00274F67">
      <w:pPr>
        <w:ind w:firstLineChars="400" w:firstLine="636"/>
        <w:jc w:val="left"/>
        <w:rPr>
          <w:sz w:val="18"/>
          <w:szCs w:val="18"/>
        </w:rPr>
      </w:pPr>
      <w:r w:rsidRPr="00980B1E">
        <w:rPr>
          <w:rFonts w:hint="eastAsia"/>
          <w:sz w:val="18"/>
          <w:szCs w:val="18"/>
        </w:rPr>
        <w:t>４</w:t>
      </w:r>
      <w:r>
        <w:rPr>
          <w:rFonts w:hint="eastAsia"/>
          <w:sz w:val="18"/>
          <w:szCs w:val="18"/>
        </w:rPr>
        <w:t xml:space="preserve">　</w:t>
      </w:r>
      <w:r w:rsidRPr="00980B1E">
        <w:rPr>
          <w:rFonts w:hint="eastAsia"/>
          <w:sz w:val="18"/>
          <w:szCs w:val="18"/>
        </w:rPr>
        <w:t>有効率＝（有収水量＋無収水量）÷総配水量</w:t>
      </w:r>
    </w:p>
    <w:p w:rsidR="004C3DD0" w:rsidRDefault="004C3DD0" w:rsidP="00274F67">
      <w:pPr>
        <w:ind w:firstLineChars="400" w:firstLine="636"/>
        <w:jc w:val="left"/>
        <w:rPr>
          <w:rFonts w:ascii="ＭＳ ゴシック" w:eastAsia="ＭＳ ゴシック" w:hAnsi="ＭＳ ゴシック"/>
          <w:sz w:val="22"/>
        </w:rPr>
      </w:pPr>
      <w:r w:rsidRPr="00980B1E">
        <w:rPr>
          <w:rFonts w:hint="eastAsia"/>
          <w:sz w:val="18"/>
          <w:szCs w:val="18"/>
        </w:rPr>
        <w:t>５</w:t>
      </w:r>
      <w:r>
        <w:rPr>
          <w:rFonts w:hint="eastAsia"/>
          <w:sz w:val="18"/>
          <w:szCs w:val="18"/>
        </w:rPr>
        <w:t xml:space="preserve">　</w:t>
      </w:r>
      <w:r w:rsidRPr="00980B1E">
        <w:rPr>
          <w:rFonts w:hint="eastAsia"/>
          <w:sz w:val="18"/>
          <w:szCs w:val="18"/>
        </w:rPr>
        <w:t>職員数（各年度末現在）には、水道事業管理者は含まれていない。</w:t>
      </w:r>
    </w:p>
    <w:p w:rsidR="00274F67" w:rsidRPr="00711543" w:rsidRDefault="00274F67" w:rsidP="00274F67">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274F67" w:rsidRPr="008A1AC0" w:rsidRDefault="00274F67" w:rsidP="00711543">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rsidR="00274F67" w:rsidRDefault="00274F67" w:rsidP="00274F67">
      <w:pPr>
        <w:ind w:firstLineChars="300" w:firstLine="657"/>
        <w:rPr>
          <w:szCs w:val="24"/>
        </w:rPr>
      </w:pPr>
      <w:r w:rsidRPr="008A1AC0">
        <w:rPr>
          <w:rFonts w:hint="eastAsia"/>
          <w:szCs w:val="24"/>
        </w:rPr>
        <w:t>各科目の予算の執行状況は、下表のとおりである。</w:t>
      </w:r>
      <w:r>
        <w:rPr>
          <w:rFonts w:hint="eastAsia"/>
          <w:szCs w:val="24"/>
        </w:rPr>
        <w:t xml:space="preserve">　　　　　</w:t>
      </w:r>
    </w:p>
    <w:p w:rsidR="00274F67" w:rsidRPr="008A1AC0" w:rsidRDefault="00274F67" w:rsidP="00274F67">
      <w:pPr>
        <w:ind w:firstLineChars="3100" w:firstLine="6790"/>
        <w:rPr>
          <w:szCs w:val="24"/>
        </w:rPr>
      </w:pPr>
      <w:r>
        <w:rPr>
          <w:rFonts w:hint="eastAsia"/>
          <w:szCs w:val="24"/>
        </w:rPr>
        <w:t xml:space="preserve">　　</w:t>
      </w:r>
      <w:r w:rsidRPr="008A1AC0">
        <w:rPr>
          <w:rFonts w:hint="eastAsia"/>
          <w:szCs w:val="24"/>
        </w:rPr>
        <w:t>（単位：千円・％）</w:t>
      </w:r>
    </w:p>
    <w:bookmarkStart w:id="1" w:name="_MON_1436080364"/>
    <w:bookmarkEnd w:id="1"/>
    <w:p w:rsidR="00274F67" w:rsidRDefault="00274F67" w:rsidP="00274F67">
      <w:pPr>
        <w:ind w:left="2" w:hanging="2"/>
        <w:jc w:val="left"/>
        <w:rPr>
          <w:sz w:val="22"/>
        </w:rPr>
      </w:pPr>
      <w:r w:rsidRPr="000E3F6D">
        <w:rPr>
          <w:sz w:val="22"/>
        </w:rPr>
        <w:object w:dxaOrig="9790" w:dyaOrig="5861">
          <v:shape id="_x0000_i1026" type="#_x0000_t75" style="width:478.5pt;height:251.25pt" o:ole="">
            <v:imagedata r:id="rId9" o:title=""/>
          </v:shape>
          <o:OLEObject Type="Embed" ProgID="Excel.Sheet.12" ShapeID="_x0000_i1026" DrawAspect="Content" ObjectID="_1470640273" r:id="rId10"/>
        </w:object>
      </w:r>
      <w:r>
        <w:rPr>
          <w:rFonts w:hint="eastAsia"/>
          <w:sz w:val="22"/>
        </w:rPr>
        <w:t xml:space="preserve">　　</w:t>
      </w:r>
    </w:p>
    <w:p w:rsidR="00274F67" w:rsidRPr="008A1AC0" w:rsidRDefault="00274F67" w:rsidP="00274F67">
      <w:pPr>
        <w:ind w:left="2" w:firstLineChars="200" w:firstLine="438"/>
        <w:jc w:val="left"/>
        <w:rPr>
          <w:szCs w:val="24"/>
        </w:rPr>
      </w:pPr>
      <w:r>
        <w:rPr>
          <w:rFonts w:hint="eastAsia"/>
          <w:szCs w:val="24"/>
        </w:rPr>
        <w:t xml:space="preserve">ア　</w:t>
      </w:r>
      <w:r w:rsidRPr="008A1AC0">
        <w:rPr>
          <w:rFonts w:hint="eastAsia"/>
          <w:szCs w:val="24"/>
        </w:rPr>
        <w:t>収益的収入</w:t>
      </w:r>
    </w:p>
    <w:p w:rsidR="00274F67" w:rsidRPr="00907186" w:rsidRDefault="00274F67" w:rsidP="00274F67">
      <w:pPr>
        <w:spacing w:line="380" w:lineRule="exact"/>
        <w:ind w:leftChars="300" w:left="657" w:firstLineChars="80" w:firstLine="175"/>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予算額3,172,884千円に対し、決算額は3,125,114千円(仮受消費税146,904千円を含む)で、執行率98.5％、47,770千円の収入減となっている。</w:t>
      </w:r>
    </w:p>
    <w:p w:rsidR="00274F67" w:rsidRPr="00907186" w:rsidRDefault="00274F67" w:rsidP="00274F67">
      <w:pPr>
        <w:spacing w:line="380" w:lineRule="exact"/>
        <w:ind w:left="2"/>
        <w:jc w:val="left"/>
        <w:rPr>
          <w:rFonts w:asciiTheme="minorEastAsia" w:eastAsiaTheme="minorEastAsia" w:hAnsiTheme="minorEastAsia"/>
          <w:szCs w:val="24"/>
        </w:rPr>
      </w:pPr>
      <w:r w:rsidRPr="00907186">
        <w:rPr>
          <w:rFonts w:asciiTheme="minorEastAsia" w:eastAsiaTheme="minorEastAsia" w:hAnsiTheme="minorEastAsia" w:hint="eastAsia"/>
          <w:szCs w:val="24"/>
        </w:rPr>
        <w:t xml:space="preserve">　　　</w:t>
      </w:r>
      <w:r>
        <w:rPr>
          <w:rFonts w:asciiTheme="minorEastAsia" w:eastAsiaTheme="minorEastAsia" w:hAnsiTheme="minorEastAsia" w:hint="eastAsia"/>
          <w:szCs w:val="24"/>
        </w:rPr>
        <w:t xml:space="preserve">　</w:t>
      </w:r>
      <w:r w:rsidRPr="00907186">
        <w:rPr>
          <w:rFonts w:asciiTheme="minorEastAsia" w:eastAsiaTheme="minorEastAsia" w:hAnsiTheme="minorEastAsia" w:hint="eastAsia"/>
          <w:szCs w:val="24"/>
        </w:rPr>
        <w:t>これは主に、営業収益の減少によるものである。</w:t>
      </w:r>
    </w:p>
    <w:p w:rsidR="00274F67" w:rsidRPr="008A1AC0" w:rsidRDefault="00274F67" w:rsidP="00274F67">
      <w:pPr>
        <w:spacing w:line="380" w:lineRule="exact"/>
        <w:ind w:firstLineChars="100" w:firstLine="219"/>
        <w:jc w:val="left"/>
        <w:rPr>
          <w:szCs w:val="24"/>
        </w:rPr>
      </w:pPr>
    </w:p>
    <w:p w:rsidR="00274F67" w:rsidRPr="008A1AC0" w:rsidRDefault="00274F67" w:rsidP="00274F67">
      <w:pPr>
        <w:tabs>
          <w:tab w:val="left" w:pos="284"/>
        </w:tabs>
        <w:spacing w:line="380" w:lineRule="exact"/>
        <w:ind w:firstLineChars="200" w:firstLine="438"/>
        <w:jc w:val="left"/>
        <w:rPr>
          <w:szCs w:val="24"/>
        </w:rPr>
      </w:pPr>
      <w:r>
        <w:rPr>
          <w:rFonts w:hint="eastAsia"/>
          <w:szCs w:val="24"/>
        </w:rPr>
        <w:t xml:space="preserve">イ　</w:t>
      </w:r>
      <w:r w:rsidRPr="008A1AC0">
        <w:rPr>
          <w:rFonts w:hint="eastAsia"/>
          <w:szCs w:val="24"/>
        </w:rPr>
        <w:t>収益的支出</w:t>
      </w:r>
    </w:p>
    <w:p w:rsidR="00274F67" w:rsidRPr="008A1AC0" w:rsidRDefault="00274F67" w:rsidP="00274F67">
      <w:pPr>
        <w:spacing w:line="380" w:lineRule="exact"/>
        <w:ind w:leftChars="300" w:left="657" w:firstLineChars="94" w:firstLine="206"/>
        <w:jc w:val="left"/>
        <w:rPr>
          <w:szCs w:val="24"/>
        </w:rPr>
      </w:pPr>
      <w:r w:rsidRPr="008A1AC0">
        <w:rPr>
          <w:rFonts w:hint="eastAsia"/>
          <w:szCs w:val="24"/>
        </w:rPr>
        <w:t>予算額</w:t>
      </w:r>
      <w:r>
        <w:rPr>
          <w:rFonts w:hint="eastAsia"/>
          <w:szCs w:val="24"/>
        </w:rPr>
        <w:t>3,119,395</w:t>
      </w:r>
      <w:r w:rsidRPr="008A1AC0">
        <w:rPr>
          <w:rFonts w:hint="eastAsia"/>
          <w:szCs w:val="24"/>
        </w:rPr>
        <w:t>千円に対し、決算額は</w:t>
      </w:r>
      <w:r>
        <w:rPr>
          <w:rFonts w:hint="eastAsia"/>
          <w:szCs w:val="24"/>
        </w:rPr>
        <w:t>2,982,559千円(</w:t>
      </w:r>
      <w:r w:rsidRPr="008A1AC0">
        <w:rPr>
          <w:rFonts w:hint="eastAsia"/>
          <w:szCs w:val="24"/>
        </w:rPr>
        <w:t>仮払消費税</w:t>
      </w:r>
      <w:r>
        <w:rPr>
          <w:rFonts w:hint="eastAsia"/>
          <w:szCs w:val="24"/>
        </w:rPr>
        <w:t>53,834千円を含む)</w:t>
      </w:r>
      <w:r w:rsidRPr="008A1AC0">
        <w:rPr>
          <w:rFonts w:hint="eastAsia"/>
          <w:szCs w:val="24"/>
        </w:rPr>
        <w:t>で、執行率</w:t>
      </w:r>
      <w:r>
        <w:rPr>
          <w:rFonts w:hint="eastAsia"/>
          <w:szCs w:val="24"/>
        </w:rPr>
        <w:t>95.6</w:t>
      </w:r>
      <w:r w:rsidRPr="008A1AC0">
        <w:rPr>
          <w:rFonts w:hint="eastAsia"/>
          <w:szCs w:val="24"/>
        </w:rPr>
        <w:t>％、</w:t>
      </w:r>
      <w:r>
        <w:rPr>
          <w:rFonts w:hint="eastAsia"/>
          <w:szCs w:val="24"/>
        </w:rPr>
        <w:t>136,836</w:t>
      </w:r>
      <w:r w:rsidRPr="008A1AC0">
        <w:rPr>
          <w:rFonts w:hint="eastAsia"/>
          <w:szCs w:val="24"/>
        </w:rPr>
        <w:t>千円の不用額が生じている。</w:t>
      </w:r>
    </w:p>
    <w:p w:rsidR="00274F67" w:rsidRPr="008A1AC0" w:rsidRDefault="00274F67" w:rsidP="00274F67">
      <w:pPr>
        <w:spacing w:line="380" w:lineRule="exact"/>
        <w:jc w:val="left"/>
        <w:rPr>
          <w:szCs w:val="24"/>
        </w:rPr>
      </w:pPr>
      <w:r>
        <w:rPr>
          <w:rFonts w:hint="eastAsia"/>
          <w:szCs w:val="24"/>
        </w:rPr>
        <w:t xml:space="preserve">　　　　これは主に、営業費用の減少によるもの</w:t>
      </w:r>
      <w:r w:rsidRPr="008A1AC0">
        <w:rPr>
          <w:rFonts w:hint="eastAsia"/>
          <w:szCs w:val="24"/>
        </w:rPr>
        <w:t>である。</w:t>
      </w:r>
    </w:p>
    <w:p w:rsidR="00274F67" w:rsidRPr="008A1AC0" w:rsidRDefault="00274F67" w:rsidP="00274F67">
      <w:pPr>
        <w:rPr>
          <w:rFonts w:ascii="ＭＳ ゴシック" w:eastAsia="ＭＳ ゴシック" w:hAnsi="ＭＳ ゴシック"/>
          <w:szCs w:val="24"/>
        </w:rPr>
      </w:pPr>
    </w:p>
    <w:p w:rsidR="00274F67" w:rsidRPr="008A1AC0" w:rsidRDefault="00274F67" w:rsidP="00274F67">
      <w:pPr>
        <w:ind w:firstLineChars="100" w:firstLine="219"/>
        <w:rPr>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sidRPr="008A1AC0">
        <w:rPr>
          <w:rFonts w:hint="eastAsia"/>
          <w:szCs w:val="24"/>
        </w:rPr>
        <w:t>(単位：千円)</w:t>
      </w:r>
    </w:p>
    <w:p w:rsidR="00274F67" w:rsidRPr="00A439C3" w:rsidRDefault="00274F67" w:rsidP="00274F67">
      <w:pPr>
        <w:ind w:left="1"/>
        <w:rPr>
          <w:sz w:val="22"/>
        </w:rPr>
      </w:pPr>
      <w:r>
        <w:rPr>
          <w:noProof/>
          <w:sz w:val="22"/>
        </w:rPr>
        <w:drawing>
          <wp:inline distT="0" distB="0" distL="0" distR="0">
            <wp:extent cx="6076950" cy="2305050"/>
            <wp:effectExtent l="19050" t="0" r="1905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74F67" w:rsidRPr="008A1AC0" w:rsidRDefault="00274F67" w:rsidP="00274F67">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274F67" w:rsidRDefault="00274F67" w:rsidP="00274F67">
      <w:pPr>
        <w:ind w:firstLineChars="300" w:firstLine="657"/>
        <w:rPr>
          <w:szCs w:val="24"/>
        </w:rPr>
      </w:pPr>
      <w:r>
        <w:rPr>
          <w:rFonts w:hint="eastAsia"/>
          <w:szCs w:val="24"/>
        </w:rPr>
        <w:t xml:space="preserve">各科目の予算の執行状況は、下表のとおりである。　　</w:t>
      </w:r>
    </w:p>
    <w:p w:rsidR="00274F67" w:rsidRPr="008A1AC0" w:rsidRDefault="00274F67" w:rsidP="00274F67">
      <w:pPr>
        <w:ind w:firstLineChars="2600" w:firstLine="5695"/>
        <w:rPr>
          <w:szCs w:val="24"/>
        </w:rPr>
      </w:pPr>
      <w:r>
        <w:rPr>
          <w:rFonts w:hint="eastAsia"/>
          <w:szCs w:val="24"/>
        </w:rPr>
        <w:t xml:space="preserve">　　　　　</w:t>
      </w:r>
      <w:r w:rsidRPr="008A1AC0">
        <w:rPr>
          <w:rFonts w:hint="eastAsia"/>
          <w:szCs w:val="24"/>
        </w:rPr>
        <w:t>（単位：千円・％）</w:t>
      </w:r>
    </w:p>
    <w:bookmarkStart w:id="2" w:name="_MON_1436083506"/>
    <w:bookmarkEnd w:id="2"/>
    <w:p w:rsidR="00274F67" w:rsidRDefault="00274F67" w:rsidP="00274F67">
      <w:pPr>
        <w:rPr>
          <w:sz w:val="22"/>
        </w:rPr>
      </w:pPr>
      <w:r w:rsidRPr="000E3F6D">
        <w:rPr>
          <w:sz w:val="22"/>
        </w:rPr>
        <w:object w:dxaOrig="11197" w:dyaOrig="7370">
          <v:shape id="_x0000_i1027" type="#_x0000_t75" style="width:480pt;height:340.5pt" o:ole="">
            <v:imagedata r:id="rId12" o:title=""/>
          </v:shape>
          <o:OLEObject Type="Embed" ProgID="Excel.Sheet.12" ShapeID="_x0000_i1027" DrawAspect="Content" ObjectID="_1470640274" r:id="rId13"/>
        </w:object>
      </w:r>
    </w:p>
    <w:p w:rsidR="00274F67" w:rsidRPr="00B2501E" w:rsidRDefault="00274F67" w:rsidP="00274F67">
      <w:pPr>
        <w:pStyle w:val="a8"/>
        <w:spacing w:line="200" w:lineRule="exact"/>
      </w:pPr>
    </w:p>
    <w:p w:rsidR="00274F67" w:rsidRPr="00FA55D2" w:rsidRDefault="00274F67" w:rsidP="00274F67">
      <w:pPr>
        <w:spacing w:line="400" w:lineRule="exact"/>
        <w:ind w:firstLineChars="200" w:firstLine="438"/>
        <w:jc w:val="left"/>
        <w:rPr>
          <w:szCs w:val="24"/>
        </w:rPr>
      </w:pPr>
      <w:r w:rsidRPr="00FA55D2">
        <w:rPr>
          <w:rFonts w:hint="eastAsia"/>
          <w:szCs w:val="24"/>
        </w:rPr>
        <w:t>ア　資本的収入</w:t>
      </w:r>
    </w:p>
    <w:p w:rsidR="00274F67" w:rsidRPr="00FA55D2" w:rsidRDefault="00274F67" w:rsidP="00274F67">
      <w:pPr>
        <w:spacing w:line="400" w:lineRule="exact"/>
        <w:ind w:leftChars="300" w:left="657" w:firstLineChars="90" w:firstLine="197"/>
        <w:rPr>
          <w:szCs w:val="24"/>
        </w:rPr>
      </w:pPr>
      <w:r w:rsidRPr="00FA55D2">
        <w:rPr>
          <w:rFonts w:hint="eastAsia"/>
          <w:szCs w:val="24"/>
        </w:rPr>
        <w:t>予算額</w:t>
      </w:r>
      <w:r>
        <w:rPr>
          <w:rFonts w:hint="eastAsia"/>
          <w:szCs w:val="24"/>
        </w:rPr>
        <w:t>731,456</w:t>
      </w:r>
      <w:r w:rsidRPr="00FA55D2">
        <w:rPr>
          <w:rFonts w:hint="eastAsia"/>
          <w:szCs w:val="24"/>
        </w:rPr>
        <w:t>千円に対し、決算額は</w:t>
      </w:r>
      <w:r>
        <w:rPr>
          <w:rFonts w:hint="eastAsia"/>
          <w:szCs w:val="24"/>
        </w:rPr>
        <w:t>668,321</w:t>
      </w:r>
      <w:r w:rsidRPr="00FA55D2">
        <w:rPr>
          <w:rFonts w:hint="eastAsia"/>
          <w:szCs w:val="24"/>
        </w:rPr>
        <w:t>千円（仮受消費税</w:t>
      </w:r>
      <w:r>
        <w:rPr>
          <w:rFonts w:hint="eastAsia"/>
          <w:szCs w:val="24"/>
        </w:rPr>
        <w:t>129</w:t>
      </w:r>
      <w:r w:rsidRPr="00FA55D2">
        <w:rPr>
          <w:rFonts w:hint="eastAsia"/>
          <w:szCs w:val="24"/>
        </w:rPr>
        <w:t>千円を含む）で、執行率</w:t>
      </w:r>
      <w:r>
        <w:rPr>
          <w:rFonts w:hint="eastAsia"/>
          <w:szCs w:val="24"/>
        </w:rPr>
        <w:t>91.4</w:t>
      </w:r>
      <w:r w:rsidRPr="00FA55D2">
        <w:rPr>
          <w:rFonts w:hint="eastAsia"/>
          <w:szCs w:val="24"/>
        </w:rPr>
        <w:t>％、</w:t>
      </w:r>
      <w:r>
        <w:rPr>
          <w:rFonts w:hint="eastAsia"/>
          <w:szCs w:val="24"/>
        </w:rPr>
        <w:t>63,135</w:t>
      </w:r>
      <w:r w:rsidRPr="00FA55D2">
        <w:rPr>
          <w:rFonts w:hint="eastAsia"/>
          <w:szCs w:val="24"/>
        </w:rPr>
        <w:t>千円の収入減になっている。</w:t>
      </w:r>
    </w:p>
    <w:p w:rsidR="00274F67" w:rsidRPr="00FA55D2" w:rsidRDefault="00274F67" w:rsidP="00274F67">
      <w:pPr>
        <w:spacing w:line="400" w:lineRule="exact"/>
        <w:ind w:firstLineChars="400" w:firstLine="876"/>
        <w:rPr>
          <w:szCs w:val="24"/>
        </w:rPr>
      </w:pPr>
      <w:r w:rsidRPr="00FA55D2">
        <w:rPr>
          <w:rFonts w:hint="eastAsia"/>
          <w:szCs w:val="24"/>
        </w:rPr>
        <w:t>これは主に、企業債及び</w:t>
      </w:r>
      <w:r>
        <w:rPr>
          <w:rFonts w:hint="eastAsia"/>
          <w:szCs w:val="24"/>
        </w:rPr>
        <w:t>工事負担金</w:t>
      </w:r>
      <w:r w:rsidRPr="00FA55D2">
        <w:rPr>
          <w:rFonts w:hint="eastAsia"/>
          <w:szCs w:val="24"/>
        </w:rPr>
        <w:t>の減少によるもので</w:t>
      </w:r>
      <w:r>
        <w:rPr>
          <w:rFonts w:hint="eastAsia"/>
          <w:szCs w:val="24"/>
        </w:rPr>
        <w:t>あ</w:t>
      </w:r>
      <w:r w:rsidRPr="00FA55D2">
        <w:rPr>
          <w:rFonts w:hint="eastAsia"/>
          <w:szCs w:val="24"/>
        </w:rPr>
        <w:t>る。</w:t>
      </w:r>
    </w:p>
    <w:p w:rsidR="00274F67" w:rsidRPr="00FA55D2" w:rsidRDefault="00274F67" w:rsidP="00274F67">
      <w:pPr>
        <w:spacing w:line="400" w:lineRule="exact"/>
        <w:rPr>
          <w:szCs w:val="24"/>
        </w:rPr>
      </w:pPr>
    </w:p>
    <w:p w:rsidR="00274F67" w:rsidRPr="00FB54E9" w:rsidRDefault="00274F67" w:rsidP="00274F67">
      <w:pPr>
        <w:spacing w:line="400" w:lineRule="exact"/>
        <w:ind w:firstLineChars="200" w:firstLine="438"/>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274F67" w:rsidRPr="00FB54E9" w:rsidRDefault="00274F67" w:rsidP="00274F67">
      <w:pPr>
        <w:spacing w:line="400" w:lineRule="exact"/>
        <w:ind w:leftChars="294" w:left="644" w:firstLineChars="90" w:firstLine="197"/>
        <w:rPr>
          <w:rFonts w:asciiTheme="minorEastAsia" w:eastAsiaTheme="minorEastAsia" w:hAnsiTheme="minorEastAsia"/>
          <w:szCs w:val="24"/>
        </w:rPr>
      </w:pPr>
      <w:r w:rsidRPr="00FB54E9">
        <w:rPr>
          <w:rFonts w:asciiTheme="minorEastAsia" w:eastAsiaTheme="minorEastAsia" w:hAnsiTheme="minorEastAsia" w:hint="eastAsia"/>
          <w:szCs w:val="24"/>
        </w:rPr>
        <w:t>予算額1,905,327千円に対し、決算額は1,790,271</w:t>
      </w:r>
      <w:r>
        <w:rPr>
          <w:rFonts w:asciiTheme="minorEastAsia" w:eastAsiaTheme="minorEastAsia" w:hAnsiTheme="minorEastAsia" w:hint="eastAsia"/>
          <w:szCs w:val="24"/>
        </w:rPr>
        <w:t>千円(</w:t>
      </w:r>
      <w:r w:rsidRPr="00FB54E9">
        <w:rPr>
          <w:rFonts w:asciiTheme="minorEastAsia" w:eastAsiaTheme="minorEastAsia" w:hAnsiTheme="minorEastAsia" w:hint="eastAsia"/>
          <w:szCs w:val="24"/>
        </w:rPr>
        <w:t>仮払消費税64,201</w:t>
      </w:r>
      <w:r>
        <w:rPr>
          <w:rFonts w:asciiTheme="minorEastAsia" w:eastAsiaTheme="minorEastAsia" w:hAnsiTheme="minorEastAsia" w:hint="eastAsia"/>
          <w:szCs w:val="24"/>
        </w:rPr>
        <w:t>千円を含む)</w:t>
      </w:r>
      <w:r w:rsidRPr="00FB54E9">
        <w:rPr>
          <w:rFonts w:asciiTheme="minorEastAsia" w:eastAsiaTheme="minorEastAsia" w:hAnsiTheme="minorEastAsia" w:hint="eastAsia"/>
          <w:szCs w:val="24"/>
        </w:rPr>
        <w:t>で、執行率94.0％となっており、翌年度繰越額25,9</w:t>
      </w:r>
      <w:r>
        <w:rPr>
          <w:rFonts w:asciiTheme="minorEastAsia" w:eastAsiaTheme="minorEastAsia" w:hAnsiTheme="minorEastAsia" w:hint="eastAsia"/>
          <w:szCs w:val="24"/>
        </w:rPr>
        <w:t>10</w:t>
      </w:r>
      <w:r w:rsidRPr="00FB54E9">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89,146</w:t>
      </w:r>
      <w:r w:rsidRPr="00FB54E9">
        <w:rPr>
          <w:rFonts w:asciiTheme="minorEastAsia" w:eastAsiaTheme="minorEastAsia" w:hAnsiTheme="minorEastAsia" w:hint="eastAsia"/>
          <w:szCs w:val="24"/>
        </w:rPr>
        <w:t>千円の不用額が生じている。</w:t>
      </w:r>
    </w:p>
    <w:p w:rsidR="00274F67" w:rsidRPr="00FB54E9" w:rsidRDefault="00274F67" w:rsidP="00274F67">
      <w:pPr>
        <w:spacing w:line="400" w:lineRule="exact"/>
        <w:ind w:firstLineChars="394" w:firstLine="863"/>
        <w:rPr>
          <w:rFonts w:asciiTheme="minorEastAsia" w:eastAsiaTheme="minorEastAsia" w:hAnsiTheme="minorEastAsia"/>
          <w:szCs w:val="24"/>
        </w:rPr>
      </w:pPr>
      <w:r w:rsidRPr="00FB54E9">
        <w:rPr>
          <w:rFonts w:asciiTheme="minorEastAsia" w:eastAsiaTheme="minorEastAsia" w:hAnsiTheme="minorEastAsia" w:hint="eastAsia"/>
          <w:szCs w:val="24"/>
        </w:rPr>
        <w:t>これは主に、水道施設整備事業費の減少によるものである。</w:t>
      </w:r>
    </w:p>
    <w:p w:rsidR="00274F67" w:rsidRPr="00FB54E9" w:rsidRDefault="00274F67" w:rsidP="00274F67">
      <w:pPr>
        <w:spacing w:line="400" w:lineRule="exact"/>
        <w:rPr>
          <w:rFonts w:asciiTheme="minorEastAsia" w:eastAsiaTheme="minorEastAsia" w:hAnsiTheme="minorEastAsia"/>
          <w:szCs w:val="24"/>
        </w:rPr>
      </w:pPr>
    </w:p>
    <w:p w:rsidR="00274F67" w:rsidRPr="00FB54E9" w:rsidRDefault="00274F67" w:rsidP="00274F67">
      <w:pPr>
        <w:spacing w:line="400" w:lineRule="exact"/>
        <w:ind w:firstLineChars="200" w:firstLine="438"/>
        <w:rPr>
          <w:rFonts w:asciiTheme="minorEastAsia" w:eastAsiaTheme="minorEastAsia" w:hAnsiTheme="minorEastAsia"/>
          <w:szCs w:val="24"/>
        </w:rPr>
      </w:pPr>
      <w:r w:rsidRPr="00FB54E9">
        <w:rPr>
          <w:rFonts w:asciiTheme="minorEastAsia" w:eastAsiaTheme="minorEastAsia" w:hAnsiTheme="minorEastAsia" w:hint="eastAsia"/>
          <w:szCs w:val="24"/>
        </w:rPr>
        <w:t>ウ　補てん財源</w:t>
      </w:r>
    </w:p>
    <w:p w:rsidR="00E51B98" w:rsidRPr="00E51B98" w:rsidRDefault="00274F67" w:rsidP="00E51B98">
      <w:pPr>
        <w:spacing w:line="400" w:lineRule="exact"/>
        <w:ind w:leftChars="300" w:left="657" w:firstLineChars="90" w:firstLine="183"/>
        <w:rPr>
          <w:rFonts w:asciiTheme="minorEastAsia" w:eastAsiaTheme="minorEastAsia" w:hAnsiTheme="minorEastAsia"/>
          <w:spacing w:val="-4"/>
          <w:szCs w:val="24"/>
        </w:rPr>
      </w:pPr>
      <w:r w:rsidRPr="008F4971">
        <w:rPr>
          <w:rFonts w:asciiTheme="minorEastAsia" w:eastAsiaTheme="minorEastAsia" w:hAnsiTheme="minorEastAsia" w:hint="eastAsia"/>
          <w:spacing w:val="-8"/>
          <w:szCs w:val="24"/>
        </w:rPr>
        <w:t>資本的収入額が資本的支出額に不足する額1,121,950千円は、減債積立金100,000千円、</w:t>
      </w:r>
      <w:r w:rsidRPr="008F4971">
        <w:rPr>
          <w:rFonts w:asciiTheme="minorEastAsia" w:eastAsiaTheme="minorEastAsia" w:hAnsiTheme="minorEastAsia" w:hint="eastAsia"/>
          <w:spacing w:val="-4"/>
          <w:szCs w:val="24"/>
        </w:rPr>
        <w:t>過年度分損益勘定留保資金974,145千円、当年度分消費税及び地方消費税資本的収支調整額47,805千円で補てんされている。</w:t>
      </w:r>
    </w:p>
    <w:p w:rsidR="00E51B98" w:rsidRDefault="00E51B98" w:rsidP="00274F67">
      <w:pPr>
        <w:ind w:firstLineChars="100" w:firstLine="199"/>
        <w:rPr>
          <w:rFonts w:ascii="ＭＳ ゴシック" w:eastAsia="ＭＳ ゴシック" w:hAnsi="ＭＳ ゴシック"/>
          <w:sz w:val="22"/>
        </w:rPr>
      </w:pPr>
    </w:p>
    <w:p w:rsidR="00274F67" w:rsidRPr="00FA55D2" w:rsidRDefault="00274F67" w:rsidP="00274F67">
      <w:pPr>
        <w:ind w:firstLineChars="100" w:firstLine="199"/>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274F67" w:rsidRDefault="00274F67">
      <w:pPr>
        <w:rPr>
          <w:szCs w:val="24"/>
        </w:rPr>
      </w:pPr>
    </w:p>
    <w:p w:rsidR="00274F67" w:rsidRPr="00FA55D2" w:rsidRDefault="00274F67" w:rsidP="00274F67">
      <w:pPr>
        <w:ind w:firstLineChars="200" w:firstLine="438"/>
        <w:rPr>
          <w:szCs w:val="24"/>
        </w:rPr>
      </w:pPr>
      <w:r w:rsidRPr="00FA55D2">
        <w:rPr>
          <w:rFonts w:hint="eastAsia"/>
          <w:szCs w:val="24"/>
        </w:rPr>
        <w:t>ア　企業債</w:t>
      </w:r>
    </w:p>
    <w:p w:rsidR="00274F67" w:rsidRDefault="00274F67" w:rsidP="00274F67">
      <w:pPr>
        <w:ind w:leftChars="-105" w:left="624" w:hangingChars="390" w:hanging="854"/>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274F67" w:rsidRPr="00FA55D2" w:rsidRDefault="00274F67" w:rsidP="00274F67">
      <w:pPr>
        <w:ind w:leftChars="295" w:left="646"/>
        <w:rPr>
          <w:szCs w:val="24"/>
        </w:rPr>
      </w:pPr>
      <w:r w:rsidRPr="00FA55D2">
        <w:rPr>
          <w:rFonts w:hint="eastAsia"/>
          <w:szCs w:val="24"/>
        </w:rPr>
        <w:t>行われていた。</w:t>
      </w:r>
    </w:p>
    <w:p w:rsidR="00274F67" w:rsidRPr="00DE256F" w:rsidRDefault="00274F67">
      <w:pPr>
        <w:rPr>
          <w:szCs w:val="24"/>
        </w:rPr>
      </w:pPr>
    </w:p>
    <w:p w:rsidR="00274F67" w:rsidRPr="00FA55D2" w:rsidRDefault="00274F67">
      <w:pPr>
        <w:rPr>
          <w:szCs w:val="24"/>
        </w:rPr>
      </w:pPr>
      <w:r w:rsidRPr="00FA55D2">
        <w:rPr>
          <w:rFonts w:hint="eastAsia"/>
          <w:szCs w:val="24"/>
        </w:rPr>
        <w:t xml:space="preserve">　　イ　一時借入金　</w:t>
      </w:r>
    </w:p>
    <w:p w:rsidR="00274F67" w:rsidRPr="00FA55D2" w:rsidRDefault="00274F67">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一時借入金の限度額は400,000千円となっているが、借り入れはなかった。</w:t>
      </w:r>
    </w:p>
    <w:p w:rsidR="00274F67" w:rsidRPr="00FA55D2" w:rsidRDefault="00274F67">
      <w:pPr>
        <w:rPr>
          <w:szCs w:val="24"/>
        </w:rPr>
      </w:pPr>
    </w:p>
    <w:p w:rsidR="00274F67" w:rsidRPr="00FA55D2" w:rsidRDefault="00274F67">
      <w:pPr>
        <w:rPr>
          <w:szCs w:val="24"/>
        </w:rPr>
      </w:pPr>
      <w:r w:rsidRPr="00FA55D2">
        <w:rPr>
          <w:rFonts w:hint="eastAsia"/>
          <w:szCs w:val="24"/>
        </w:rPr>
        <w:t xml:space="preserve">　　ウ　議会の議決を経なければ流用することのできない経費</w:t>
      </w:r>
    </w:p>
    <w:p w:rsidR="00274F67" w:rsidRPr="00FA55D2" w:rsidRDefault="00274F67" w:rsidP="00274F67">
      <w:pPr>
        <w:ind w:leftChars="294" w:left="644" w:firstLineChars="96" w:firstLine="210"/>
        <w:rPr>
          <w:szCs w:val="24"/>
        </w:rPr>
      </w:pPr>
      <w:r w:rsidRPr="00FA55D2">
        <w:rPr>
          <w:rFonts w:hint="eastAsia"/>
          <w:szCs w:val="24"/>
        </w:rPr>
        <w:t>この経費は職員給与費、交際費及び恩給及び退職給与金であり、他の経費との間における流用はなかった。</w:t>
      </w:r>
    </w:p>
    <w:p w:rsidR="00274F67" w:rsidRPr="00FA55D2" w:rsidRDefault="00274F67">
      <w:pPr>
        <w:rPr>
          <w:szCs w:val="24"/>
        </w:rPr>
      </w:pPr>
    </w:p>
    <w:p w:rsidR="00274F67" w:rsidRPr="00FA55D2" w:rsidRDefault="00274F67" w:rsidP="00205378">
      <w:pPr>
        <w:rPr>
          <w:szCs w:val="24"/>
        </w:rPr>
      </w:pPr>
      <w:r w:rsidRPr="00FA55D2">
        <w:rPr>
          <w:rFonts w:hint="eastAsia"/>
          <w:szCs w:val="24"/>
        </w:rPr>
        <w:t xml:space="preserve">　　エ　他会計からの補助金</w:t>
      </w:r>
    </w:p>
    <w:p w:rsidR="00274F67" w:rsidRPr="00FA55D2" w:rsidRDefault="00274F67">
      <w:pPr>
        <w:rPr>
          <w:szCs w:val="24"/>
        </w:rPr>
      </w:pPr>
      <w:r w:rsidRPr="00FA55D2">
        <w:rPr>
          <w:rFonts w:hint="eastAsia"/>
          <w:szCs w:val="24"/>
        </w:rPr>
        <w:t xml:space="preserve">　　　</w:t>
      </w:r>
      <w:r>
        <w:rPr>
          <w:rFonts w:hint="eastAsia"/>
          <w:szCs w:val="24"/>
        </w:rPr>
        <w:t xml:space="preserve">　</w:t>
      </w:r>
      <w:r w:rsidRPr="00BB798C">
        <w:rPr>
          <w:rFonts w:hint="eastAsia"/>
          <w:szCs w:val="24"/>
        </w:rPr>
        <w:t>一般会計から水道つつじ公園の維持管理費として2,700千円が補助されている。</w:t>
      </w:r>
    </w:p>
    <w:p w:rsidR="00274F67" w:rsidRPr="00533B49" w:rsidRDefault="00274F67">
      <w:pPr>
        <w:rPr>
          <w:szCs w:val="24"/>
        </w:rPr>
      </w:pPr>
    </w:p>
    <w:p w:rsidR="00274F67" w:rsidRPr="00FA55D2" w:rsidRDefault="00274F67">
      <w:pPr>
        <w:rPr>
          <w:szCs w:val="24"/>
        </w:rPr>
      </w:pPr>
      <w:r w:rsidRPr="00FA55D2">
        <w:rPr>
          <w:rFonts w:hint="eastAsia"/>
          <w:szCs w:val="24"/>
        </w:rPr>
        <w:t xml:space="preserve">　　オ　たな卸資産の購入状況</w:t>
      </w:r>
    </w:p>
    <w:p w:rsidR="00274F67" w:rsidRPr="008F4971" w:rsidRDefault="00274F67" w:rsidP="00274F67">
      <w:pPr>
        <w:ind w:leftChars="300" w:left="657" w:firstLineChars="100" w:firstLine="215"/>
        <w:rPr>
          <w:spacing w:val="-2"/>
          <w:szCs w:val="24"/>
        </w:rPr>
      </w:pPr>
      <w:r w:rsidRPr="008F4971">
        <w:rPr>
          <w:rFonts w:hint="eastAsia"/>
          <w:spacing w:val="-2"/>
          <w:szCs w:val="24"/>
        </w:rPr>
        <w:t>予算に定められたたな卸資産の購入限度額は20,000千円で、購入額はその範囲内であった。</w:t>
      </w:r>
    </w:p>
    <w:p w:rsidR="00274F67" w:rsidRPr="00FA55D2" w:rsidRDefault="00274F67">
      <w:pPr>
        <w:rPr>
          <w:szCs w:val="24"/>
        </w:rPr>
      </w:pPr>
    </w:p>
    <w:p w:rsidR="00274F67" w:rsidRPr="00FA55D2" w:rsidRDefault="00274F67">
      <w:pPr>
        <w:rPr>
          <w:szCs w:val="24"/>
        </w:rPr>
      </w:pPr>
    </w:p>
    <w:p w:rsidR="00274F67" w:rsidRPr="00FA55D2" w:rsidRDefault="00274F67" w:rsidP="00274F67">
      <w:pPr>
        <w:ind w:firstLineChars="100" w:firstLine="219"/>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274F67" w:rsidRDefault="00274F67">
      <w:pPr>
        <w:rPr>
          <w:sz w:val="22"/>
        </w:rPr>
      </w:pPr>
      <w:r>
        <w:rPr>
          <w:noProof/>
          <w:sz w:val="22"/>
        </w:rPr>
        <w:drawing>
          <wp:inline distT="0" distB="0" distL="0" distR="0">
            <wp:extent cx="6048375" cy="3086100"/>
            <wp:effectExtent l="19050" t="0" r="9525"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74F67" w:rsidRDefault="00274F67">
      <w:pPr>
        <w:rPr>
          <w:sz w:val="22"/>
        </w:rPr>
      </w:pPr>
    </w:p>
    <w:p w:rsidR="00274F67" w:rsidRDefault="00274F67">
      <w:pPr>
        <w:rPr>
          <w:sz w:val="22"/>
        </w:rPr>
      </w:pPr>
    </w:p>
    <w:p w:rsidR="00274F67" w:rsidRDefault="00274F67">
      <w:pPr>
        <w:rPr>
          <w:sz w:val="22"/>
        </w:rPr>
      </w:pPr>
    </w:p>
    <w:p w:rsidR="00274F67" w:rsidRDefault="00274F67">
      <w:pPr>
        <w:rPr>
          <w:sz w:val="22"/>
        </w:rPr>
      </w:pPr>
    </w:p>
    <w:p w:rsidR="00DD1A5E" w:rsidRPr="004C3DD0" w:rsidRDefault="00DD1A5E" w:rsidP="004C3DD0">
      <w:pPr>
        <w:tabs>
          <w:tab w:val="left" w:pos="4678"/>
        </w:tabs>
        <w:jc w:val="left"/>
        <w:rPr>
          <w:sz w:val="18"/>
          <w:szCs w:val="18"/>
        </w:rPr>
      </w:pPr>
    </w:p>
    <w:p w:rsidR="00E51B98" w:rsidRPr="00D339B8" w:rsidRDefault="00E51B98" w:rsidP="007B4C66">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E51B98" w:rsidRPr="00D339B8" w:rsidRDefault="00E51B98" w:rsidP="00E51B98">
      <w:pPr>
        <w:ind w:firstLineChars="200" w:firstLine="438"/>
        <w:rPr>
          <w:szCs w:val="24"/>
        </w:rPr>
      </w:pPr>
      <w:r w:rsidRPr="00D339B8">
        <w:rPr>
          <w:rFonts w:hint="eastAsia"/>
          <w:szCs w:val="24"/>
        </w:rPr>
        <w:t>経営状況は、下表のとおりである。</w:t>
      </w:r>
    </w:p>
    <w:p w:rsidR="00E51B98" w:rsidRDefault="00E51B98" w:rsidP="00E51B98">
      <w:pPr>
        <w:ind w:firstLineChars="100" w:firstLine="219"/>
        <w:rPr>
          <w:sz w:val="22"/>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bookmarkStart w:id="3" w:name="_MON_1436090246"/>
    <w:bookmarkEnd w:id="3"/>
    <w:p w:rsidR="00E51B98" w:rsidRDefault="00E51B98">
      <w:pPr>
        <w:rPr>
          <w:sz w:val="22"/>
        </w:rPr>
      </w:pPr>
      <w:r w:rsidRPr="00534ACC">
        <w:rPr>
          <w:sz w:val="22"/>
        </w:rPr>
        <w:object w:dxaOrig="8944" w:dyaOrig="5871">
          <v:shape id="_x0000_i1028" type="#_x0000_t75" style="width:482.25pt;height:291.75pt" o:ole="" o:preferrelative="f">
            <v:imagedata r:id="rId15" o:title=""/>
          </v:shape>
          <o:OLEObject Type="Embed" ProgID="Excel.Sheet.12" ShapeID="_x0000_i1028" DrawAspect="Content" ObjectID="_1470640275" r:id="rId16"/>
        </w:object>
      </w:r>
    </w:p>
    <w:p w:rsidR="00E51B98" w:rsidRDefault="00E51B98" w:rsidP="00E51B98">
      <w:pPr>
        <w:ind w:firstLineChars="100" w:firstLine="219"/>
        <w:rPr>
          <w:rFonts w:ascii="ＭＳ ゴシック" w:eastAsia="ＭＳ ゴシック" w:hAnsi="ＭＳ ゴシック"/>
          <w:szCs w:val="24"/>
        </w:rPr>
      </w:pPr>
    </w:p>
    <w:p w:rsidR="00E51B98" w:rsidRDefault="00E51B98" w:rsidP="00E51B98">
      <w:pPr>
        <w:ind w:firstLineChars="100" w:firstLine="219"/>
        <w:rPr>
          <w:rFonts w:ascii="ＭＳ ゴシック" w:eastAsia="ＭＳ ゴシック" w:hAnsi="ＭＳ ゴシック"/>
          <w:szCs w:val="24"/>
        </w:rPr>
      </w:pPr>
    </w:p>
    <w:p w:rsidR="00E51B98" w:rsidRPr="00D339B8" w:rsidRDefault="00E51B98" w:rsidP="00E51B98">
      <w:pPr>
        <w:ind w:firstLineChars="100" w:firstLine="219"/>
        <w:rPr>
          <w:szCs w:val="24"/>
        </w:rPr>
      </w:pPr>
      <w:r w:rsidRPr="00D339B8">
        <w:rPr>
          <w:rFonts w:ascii="ＭＳ ゴシック" w:eastAsia="ＭＳ ゴシック" w:hAnsi="ＭＳ ゴシック" w:hint="eastAsia"/>
          <w:szCs w:val="24"/>
        </w:rPr>
        <w:t>純利益（純損失）の推移</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D339B8">
        <w:rPr>
          <w:rFonts w:hint="eastAsia"/>
          <w:szCs w:val="24"/>
        </w:rPr>
        <w:t>（単位：千円）</w:t>
      </w:r>
    </w:p>
    <w:p w:rsidR="00E51B98" w:rsidRDefault="00E51B98">
      <w:pPr>
        <w:rPr>
          <w:sz w:val="22"/>
        </w:rPr>
      </w:pPr>
      <w:r>
        <w:rPr>
          <w:noProof/>
          <w:sz w:val="22"/>
        </w:rPr>
        <w:drawing>
          <wp:inline distT="0" distB="0" distL="0" distR="0">
            <wp:extent cx="6086475" cy="2247900"/>
            <wp:effectExtent l="19050" t="0" r="9525"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51B98" w:rsidRDefault="00E51B98" w:rsidP="00E51B98">
      <w:pPr>
        <w:ind w:leftChars="100" w:left="219" w:rightChars="30" w:right="66" w:firstLineChars="100" w:firstLine="219"/>
        <w:rPr>
          <w:rFonts w:hAnsi="ＭＳ 明朝"/>
          <w:szCs w:val="24"/>
        </w:rPr>
      </w:pPr>
    </w:p>
    <w:p w:rsidR="00E51B98" w:rsidRDefault="00E51B98" w:rsidP="00E51B98">
      <w:pPr>
        <w:ind w:leftChars="100" w:left="219" w:rightChars="30" w:right="66" w:firstLineChars="100" w:firstLine="219"/>
        <w:rPr>
          <w:rFonts w:hAnsi="ＭＳ 明朝"/>
          <w:szCs w:val="24"/>
        </w:rPr>
      </w:pPr>
      <w:r w:rsidRPr="002A2441">
        <w:rPr>
          <w:rFonts w:hAnsi="ＭＳ 明朝" w:hint="eastAsia"/>
          <w:szCs w:val="24"/>
        </w:rPr>
        <w:t>収益</w:t>
      </w:r>
      <w:r>
        <w:rPr>
          <w:rFonts w:hAnsi="ＭＳ 明朝" w:hint="eastAsia"/>
          <w:szCs w:val="24"/>
        </w:rPr>
        <w:t>2,978,210</w:t>
      </w:r>
      <w:r w:rsidRPr="002A2441">
        <w:rPr>
          <w:rFonts w:hAnsi="ＭＳ 明朝" w:hint="eastAsia"/>
          <w:szCs w:val="24"/>
        </w:rPr>
        <w:t>千円</w:t>
      </w:r>
      <w:r w:rsidRPr="002A2441">
        <w:rPr>
          <w:rFonts w:ascii="ＭＳ Ｐ明朝" w:eastAsia="ＭＳ Ｐ明朝" w:hAnsi="ＭＳ Ｐ明朝" w:hint="eastAsia"/>
          <w:szCs w:val="24"/>
        </w:rPr>
        <w:t>に対し、</w:t>
      </w:r>
      <w:r w:rsidRPr="002A2441">
        <w:rPr>
          <w:rFonts w:hAnsi="ＭＳ 明朝" w:hint="eastAsia"/>
          <w:szCs w:val="24"/>
        </w:rPr>
        <w:t>費用は</w:t>
      </w:r>
      <w:r>
        <w:rPr>
          <w:rFonts w:hAnsi="ＭＳ 明朝" w:hint="eastAsia"/>
          <w:szCs w:val="24"/>
        </w:rPr>
        <w:t>2,883,529</w:t>
      </w:r>
      <w:r w:rsidRPr="002A2441">
        <w:rPr>
          <w:rFonts w:hAnsi="ＭＳ 明朝" w:hint="eastAsia"/>
          <w:szCs w:val="24"/>
        </w:rPr>
        <w:t>千円</w:t>
      </w:r>
      <w:r w:rsidRPr="002A2441">
        <w:rPr>
          <w:rFonts w:ascii="ＭＳ Ｐ明朝" w:eastAsia="ＭＳ Ｐ明朝" w:hAnsi="ＭＳ Ｐ明朝" w:hint="eastAsia"/>
          <w:szCs w:val="24"/>
        </w:rPr>
        <w:t>とな</w:t>
      </w:r>
      <w:r>
        <w:rPr>
          <w:rFonts w:ascii="ＭＳ Ｐ明朝" w:eastAsia="ＭＳ Ｐ明朝" w:hAnsi="ＭＳ Ｐ明朝" w:hint="eastAsia"/>
          <w:szCs w:val="24"/>
        </w:rPr>
        <w:t>ってお</w:t>
      </w:r>
      <w:r w:rsidRPr="002A2441">
        <w:rPr>
          <w:rFonts w:ascii="ＭＳ Ｐ明朝" w:eastAsia="ＭＳ Ｐ明朝" w:hAnsi="ＭＳ Ｐ明朝" w:hint="eastAsia"/>
          <w:szCs w:val="24"/>
        </w:rPr>
        <w:t>り、</w:t>
      </w:r>
      <w:r>
        <w:rPr>
          <w:rFonts w:hAnsi="ＭＳ 明朝" w:hint="eastAsia"/>
          <w:szCs w:val="24"/>
        </w:rPr>
        <w:t>94,681千円の当年度純利益が生じている。</w:t>
      </w:r>
    </w:p>
    <w:p w:rsidR="00E51B98" w:rsidRPr="002A2441" w:rsidRDefault="00E51B98" w:rsidP="00E51B98">
      <w:pPr>
        <w:ind w:leftChars="100" w:left="219" w:rightChars="30" w:right="66" w:firstLineChars="100" w:firstLine="219"/>
        <w:rPr>
          <w:rFonts w:hAnsi="ＭＳ 明朝"/>
          <w:szCs w:val="24"/>
        </w:rPr>
      </w:pPr>
      <w:r w:rsidRPr="002A2441">
        <w:rPr>
          <w:rFonts w:hAnsi="ＭＳ 明朝" w:hint="eastAsia"/>
          <w:szCs w:val="24"/>
        </w:rPr>
        <w:t>前年度に比べ</w:t>
      </w:r>
      <w:r>
        <w:rPr>
          <w:rFonts w:hAnsi="ＭＳ 明朝" w:hint="eastAsia"/>
          <w:szCs w:val="24"/>
        </w:rPr>
        <w:t>38,685千円(△29.0％)</w:t>
      </w:r>
      <w:r w:rsidRPr="002A2441">
        <w:rPr>
          <w:rFonts w:hAnsi="ＭＳ 明朝" w:hint="eastAsia"/>
          <w:szCs w:val="24"/>
        </w:rPr>
        <w:t>の</w:t>
      </w:r>
      <w:r>
        <w:rPr>
          <w:rFonts w:hAnsi="ＭＳ 明朝" w:hint="eastAsia"/>
          <w:szCs w:val="24"/>
        </w:rPr>
        <w:t>減益</w:t>
      </w:r>
      <w:r w:rsidRPr="002A2441">
        <w:rPr>
          <w:rFonts w:hAnsi="ＭＳ 明朝" w:hint="eastAsia"/>
          <w:szCs w:val="24"/>
        </w:rPr>
        <w:t>となっている</w:t>
      </w:r>
      <w:r>
        <w:rPr>
          <w:rFonts w:hAnsi="ＭＳ 明朝" w:hint="eastAsia"/>
          <w:szCs w:val="24"/>
        </w:rPr>
        <w:t>。</w:t>
      </w:r>
    </w:p>
    <w:p w:rsidR="00E51B98" w:rsidRPr="00D77F6F" w:rsidRDefault="00E51B98">
      <w:pPr>
        <w:rPr>
          <w:sz w:val="22"/>
        </w:rPr>
      </w:pPr>
    </w:p>
    <w:p w:rsidR="00E51B98" w:rsidRDefault="00E51B98">
      <w:pPr>
        <w:rPr>
          <w:sz w:val="22"/>
        </w:rPr>
      </w:pPr>
    </w:p>
    <w:p w:rsidR="00E51B98" w:rsidRPr="002A2441" w:rsidRDefault="00E51B98" w:rsidP="00E51B9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⑴</w:t>
      </w:r>
      <w:r w:rsidRPr="002A2441">
        <w:rPr>
          <w:rFonts w:ascii="ＭＳ ゴシック" w:eastAsia="ＭＳ ゴシック" w:hAnsi="ＭＳ ゴシック" w:hint="eastAsia"/>
          <w:szCs w:val="24"/>
        </w:rPr>
        <w:t xml:space="preserve">　収益の部</w:t>
      </w:r>
    </w:p>
    <w:p w:rsidR="00E51B98" w:rsidRPr="002A2441" w:rsidRDefault="00E51B98" w:rsidP="00E51B98">
      <w:pPr>
        <w:ind w:firstLineChars="300" w:firstLine="657"/>
        <w:rPr>
          <w:szCs w:val="24"/>
        </w:rPr>
      </w:pPr>
      <w:r w:rsidRPr="002A2441">
        <w:rPr>
          <w:rFonts w:hint="eastAsia"/>
          <w:szCs w:val="24"/>
        </w:rPr>
        <w:t>収益の内訳は、下表のとおりである。</w:t>
      </w:r>
    </w:p>
    <w:p w:rsidR="00E51B98" w:rsidRPr="002A2441" w:rsidRDefault="00E51B98" w:rsidP="00E51B98">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（単位：千円・％）</w:t>
      </w:r>
    </w:p>
    <w:bookmarkStart w:id="4" w:name="_MON_1436094477"/>
    <w:bookmarkEnd w:id="4"/>
    <w:p w:rsidR="00E51B98" w:rsidRDefault="00E51B98" w:rsidP="00E51B98">
      <w:pPr>
        <w:tabs>
          <w:tab w:val="left" w:pos="6379"/>
        </w:tabs>
        <w:rPr>
          <w:sz w:val="22"/>
        </w:rPr>
      </w:pPr>
      <w:r w:rsidRPr="00534ACC">
        <w:rPr>
          <w:sz w:val="22"/>
        </w:rPr>
        <w:object w:dxaOrig="8680" w:dyaOrig="5784">
          <v:shape id="_x0000_i1029" type="#_x0000_t75" style="width:481.5pt;height:222.75pt" o:ole="" o:preferrelative="f">
            <v:imagedata r:id="rId18" o:title=""/>
          </v:shape>
          <o:OLEObject Type="Embed" ProgID="Excel.Sheet.12" ShapeID="_x0000_i1029" DrawAspect="Content" ObjectID="_1470640276" r:id="rId19"/>
        </w:object>
      </w:r>
    </w:p>
    <w:p w:rsidR="00E51B98" w:rsidRPr="00E51B98" w:rsidRDefault="00E51B98" w:rsidP="00E51B98">
      <w:pPr>
        <w:tabs>
          <w:tab w:val="left" w:pos="6379"/>
        </w:tabs>
        <w:rPr>
          <w:sz w:val="16"/>
          <w:szCs w:val="16"/>
        </w:rPr>
      </w:pPr>
    </w:p>
    <w:p w:rsidR="00E51B98" w:rsidRPr="002A2441" w:rsidRDefault="00E51B98" w:rsidP="00E51B98">
      <w:pPr>
        <w:ind w:firstLineChars="100" w:firstLine="219"/>
        <w:rPr>
          <w:szCs w:val="24"/>
        </w:rPr>
      </w:pPr>
      <w:r>
        <w:rPr>
          <w:rFonts w:ascii="ＭＳ ゴシック" w:eastAsia="ＭＳ ゴシック" w:hAnsi="ＭＳ ゴシック" w:hint="eastAsia"/>
          <w:szCs w:val="24"/>
        </w:rPr>
        <w:t>収益率の推</w:t>
      </w:r>
      <w:r w:rsidRPr="002A2441">
        <w:rPr>
          <w:rFonts w:ascii="ＭＳ ゴシック" w:eastAsia="ＭＳ ゴシック" w:hAnsi="ＭＳ ゴシック" w:hint="eastAsia"/>
          <w:szCs w:val="24"/>
        </w:rPr>
        <w:t xml:space="preserve">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p w:rsidR="00E51B98" w:rsidRPr="002F26FC" w:rsidRDefault="00E51B98" w:rsidP="002F26FC">
      <w:pPr>
        <w:rPr>
          <w:rFonts w:hAnsi="ＭＳ 明朝"/>
          <w:sz w:val="18"/>
          <w:szCs w:val="18"/>
        </w:rPr>
      </w:pPr>
      <w:r>
        <w:rPr>
          <w:noProof/>
          <w:sz w:val="22"/>
        </w:rPr>
        <w:drawing>
          <wp:inline distT="0" distB="0" distL="0" distR="0">
            <wp:extent cx="6096000" cy="1771650"/>
            <wp:effectExtent l="19050" t="0" r="19050" b="0"/>
            <wp:docPr id="3"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2F26F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2F26FC">
        <w:rPr>
          <w:rFonts w:hAnsi="ＭＳ 明朝" w:hint="eastAsia"/>
          <w:sz w:val="18"/>
          <w:szCs w:val="18"/>
        </w:rPr>
        <w:t>(注)  1　営業収支比率＝(営業収益-受託事業収益)÷(営業費用-受託事業費用)×100</w:t>
      </w:r>
    </w:p>
    <w:p w:rsidR="00E51B98" w:rsidRDefault="00E51B98" w:rsidP="00E51B98">
      <w:pPr>
        <w:kinsoku w:val="0"/>
        <w:overflowPunct w:val="0"/>
        <w:snapToGrid w:val="0"/>
        <w:spacing w:line="240" w:lineRule="atLeast"/>
        <w:ind w:right="1020" w:firstLineChars="500" w:firstLine="795"/>
        <w:jc w:val="left"/>
        <w:rPr>
          <w:rFonts w:hAnsi="ＭＳ 明朝"/>
          <w:sz w:val="18"/>
          <w:szCs w:val="18"/>
        </w:rPr>
      </w:pPr>
      <w:r w:rsidRPr="002F26FC">
        <w:rPr>
          <w:rFonts w:hAnsi="ＭＳ 明朝" w:hint="eastAsia"/>
          <w:sz w:val="18"/>
          <w:szCs w:val="18"/>
        </w:rPr>
        <w:t>2　総収支比率＝総収益÷総費用×100</w:t>
      </w:r>
    </w:p>
    <w:p w:rsidR="00E51B98" w:rsidRPr="00E62F67" w:rsidRDefault="00E51B98" w:rsidP="00E51B98">
      <w:pPr>
        <w:kinsoku w:val="0"/>
        <w:overflowPunct w:val="0"/>
        <w:snapToGrid w:val="0"/>
        <w:spacing w:line="240" w:lineRule="atLeast"/>
        <w:ind w:right="1020"/>
        <w:jc w:val="left"/>
        <w:rPr>
          <w:rFonts w:hAnsi="ＭＳ 明朝"/>
          <w:sz w:val="18"/>
          <w:szCs w:val="18"/>
        </w:rPr>
      </w:pPr>
    </w:p>
    <w:p w:rsidR="00E51B98" w:rsidRPr="002A2441" w:rsidRDefault="00E51B98" w:rsidP="00E51B98">
      <w:pPr>
        <w:kinsoku w:val="0"/>
        <w:overflowPunct w:val="0"/>
        <w:snapToGrid w:val="0"/>
        <w:spacing w:line="340" w:lineRule="atLeast"/>
        <w:ind w:right="72" w:firstLineChars="200" w:firstLine="438"/>
        <w:rPr>
          <w:rFonts w:hAnsi="ＭＳ 明朝"/>
          <w:szCs w:val="24"/>
        </w:rPr>
      </w:pPr>
      <w:r w:rsidRPr="002A2441">
        <w:rPr>
          <w:rFonts w:hAnsi="ＭＳ 明朝" w:hint="eastAsia"/>
          <w:szCs w:val="24"/>
        </w:rPr>
        <w:t>ア</w:t>
      </w:r>
      <w:r>
        <w:rPr>
          <w:rFonts w:hAnsi="ＭＳ 明朝" w:hint="eastAsia"/>
          <w:szCs w:val="24"/>
        </w:rPr>
        <w:t xml:space="preserve">　</w:t>
      </w:r>
      <w:r w:rsidRPr="002A2441">
        <w:rPr>
          <w:rFonts w:hAnsi="ＭＳ 明朝" w:hint="eastAsia"/>
          <w:kern w:val="0"/>
          <w:szCs w:val="24"/>
        </w:rPr>
        <w:t>営業収益</w:t>
      </w:r>
    </w:p>
    <w:p w:rsidR="00E51B98" w:rsidRPr="002A2441" w:rsidRDefault="00E51B98" w:rsidP="00E51B98">
      <w:pPr>
        <w:kinsoku w:val="0"/>
        <w:overflowPunct w:val="0"/>
        <w:snapToGrid w:val="0"/>
        <w:spacing w:line="340" w:lineRule="atLeast"/>
        <w:ind w:right="-428" w:firstLineChars="400" w:firstLine="876"/>
        <w:rPr>
          <w:rFonts w:hAnsi="ＭＳ 明朝"/>
          <w:szCs w:val="24"/>
        </w:rPr>
      </w:pPr>
      <w:r w:rsidRPr="002A2441">
        <w:rPr>
          <w:rFonts w:hAnsi="ＭＳ 明朝" w:hint="eastAsia"/>
          <w:szCs w:val="24"/>
        </w:rPr>
        <w:t>営業収益は</w:t>
      </w:r>
      <w:r>
        <w:rPr>
          <w:rFonts w:hAnsi="ＭＳ 明朝" w:hint="eastAsia"/>
          <w:szCs w:val="24"/>
        </w:rPr>
        <w:t>2,857,517</w:t>
      </w:r>
      <w:r w:rsidRPr="002A2441">
        <w:rPr>
          <w:rFonts w:hAnsi="ＭＳ 明朝" w:hint="eastAsia"/>
          <w:szCs w:val="24"/>
        </w:rPr>
        <w:t>千円で、前年度に比べ</w:t>
      </w:r>
      <w:r>
        <w:rPr>
          <w:rFonts w:hAnsi="ＭＳ 明朝" w:hint="eastAsia"/>
          <w:szCs w:val="24"/>
        </w:rPr>
        <w:t>70,141</w:t>
      </w:r>
      <w:r w:rsidRPr="002A2441">
        <w:rPr>
          <w:rFonts w:hAnsi="ＭＳ 明朝" w:hint="eastAsia"/>
          <w:szCs w:val="24"/>
        </w:rPr>
        <w:t>千円</w:t>
      </w:r>
      <w:r>
        <w:rPr>
          <w:rFonts w:hAnsi="ＭＳ 明朝" w:hint="eastAsia"/>
          <w:szCs w:val="24"/>
        </w:rPr>
        <w:t>(△2.4</w:t>
      </w:r>
      <w:r w:rsidRPr="002A2441">
        <w:rPr>
          <w:rFonts w:hAnsi="ＭＳ 明朝" w:hint="eastAsia"/>
          <w:szCs w:val="24"/>
        </w:rPr>
        <w:t>％</w:t>
      </w:r>
      <w:r>
        <w:rPr>
          <w:rFonts w:hAnsi="ＭＳ 明朝" w:hint="eastAsia"/>
          <w:szCs w:val="24"/>
        </w:rPr>
        <w:t>)減少</w:t>
      </w:r>
      <w:r w:rsidRPr="002A2441">
        <w:rPr>
          <w:rFonts w:hAnsi="ＭＳ 明朝" w:hint="eastAsia"/>
          <w:szCs w:val="24"/>
        </w:rPr>
        <w:t>している。</w:t>
      </w:r>
    </w:p>
    <w:p w:rsidR="00E51B98" w:rsidRDefault="00E51B98" w:rsidP="00E51B98">
      <w:pPr>
        <w:kinsoku w:val="0"/>
        <w:overflowPunct w:val="0"/>
        <w:snapToGrid w:val="0"/>
        <w:spacing w:line="340" w:lineRule="atLeast"/>
        <w:ind w:leftChars="323" w:left="708" w:right="-2" w:firstLineChars="76" w:firstLine="166"/>
        <w:rPr>
          <w:rFonts w:hAnsi="ＭＳ 明朝"/>
          <w:szCs w:val="24"/>
        </w:rPr>
      </w:pPr>
      <w:r w:rsidRPr="002A2441">
        <w:rPr>
          <w:rFonts w:hAnsi="ＭＳ 明朝" w:hint="eastAsia"/>
          <w:szCs w:val="24"/>
        </w:rPr>
        <w:t>これは主に、受託事業収益が</w:t>
      </w:r>
      <w:r>
        <w:rPr>
          <w:rFonts w:hAnsi="ＭＳ 明朝" w:hint="eastAsia"/>
          <w:szCs w:val="24"/>
        </w:rPr>
        <w:t>増加</w:t>
      </w:r>
      <w:r w:rsidRPr="002A2441">
        <w:rPr>
          <w:rFonts w:hAnsi="ＭＳ 明朝" w:hint="eastAsia"/>
          <w:szCs w:val="24"/>
        </w:rPr>
        <w:t>したものの、</w:t>
      </w:r>
      <w:r>
        <w:rPr>
          <w:rFonts w:hAnsi="ＭＳ 明朝" w:hint="eastAsia"/>
          <w:szCs w:val="24"/>
        </w:rPr>
        <w:t>給水収益</w:t>
      </w:r>
      <w:r w:rsidRPr="002A2441">
        <w:rPr>
          <w:rFonts w:hAnsi="ＭＳ 明朝" w:hint="eastAsia"/>
          <w:szCs w:val="24"/>
        </w:rPr>
        <w:t>及び水道利用加入金が</w:t>
      </w:r>
      <w:r>
        <w:rPr>
          <w:rFonts w:hAnsi="ＭＳ 明朝" w:hint="eastAsia"/>
          <w:szCs w:val="24"/>
        </w:rPr>
        <w:t>減少</w:t>
      </w:r>
      <w:r w:rsidRPr="002A2441">
        <w:rPr>
          <w:rFonts w:hAnsi="ＭＳ 明朝" w:hint="eastAsia"/>
          <w:szCs w:val="24"/>
        </w:rPr>
        <w:t>した</w:t>
      </w:r>
    </w:p>
    <w:p w:rsidR="00E51B98" w:rsidRDefault="00E51B98" w:rsidP="00E51B98">
      <w:pPr>
        <w:kinsoku w:val="0"/>
        <w:overflowPunct w:val="0"/>
        <w:snapToGrid w:val="0"/>
        <w:spacing w:line="340" w:lineRule="atLeast"/>
        <w:ind w:leftChars="323" w:left="708" w:right="-2" w:firstLine="1"/>
        <w:rPr>
          <w:rFonts w:hAnsi="ＭＳ 明朝"/>
          <w:szCs w:val="24"/>
        </w:rPr>
      </w:pPr>
      <w:r w:rsidRPr="002A2441">
        <w:rPr>
          <w:rFonts w:hAnsi="ＭＳ 明朝" w:hint="eastAsia"/>
          <w:szCs w:val="24"/>
        </w:rPr>
        <w:t>ことによるものである。</w:t>
      </w:r>
    </w:p>
    <w:p w:rsidR="00E51B98" w:rsidRPr="00E51B98" w:rsidRDefault="00E51B98" w:rsidP="00E51B98">
      <w:pPr>
        <w:kinsoku w:val="0"/>
        <w:overflowPunct w:val="0"/>
        <w:snapToGrid w:val="0"/>
        <w:spacing w:line="340" w:lineRule="atLeast"/>
        <w:ind w:leftChars="323" w:left="708" w:right="-2" w:firstLine="1"/>
        <w:rPr>
          <w:rFonts w:hAnsi="ＭＳ 明朝"/>
          <w:szCs w:val="24"/>
        </w:rPr>
      </w:pPr>
    </w:p>
    <w:p w:rsidR="00E51B98" w:rsidRPr="005A2A48" w:rsidRDefault="00E51B98" w:rsidP="00E51B98">
      <w:pPr>
        <w:kinsoku w:val="0"/>
        <w:overflowPunct w:val="0"/>
        <w:snapToGrid w:val="0"/>
        <w:spacing w:line="340" w:lineRule="atLeast"/>
        <w:ind w:right="-454" w:firstLineChars="200" w:firstLine="438"/>
        <w:rPr>
          <w:rFonts w:ascii="ＭＳ Ｐ明朝" w:eastAsia="ＭＳ Ｐ明朝" w:hAnsi="ＭＳ Ｐ明朝"/>
          <w:szCs w:val="24"/>
        </w:rPr>
      </w:pPr>
      <w:r w:rsidRPr="005A2A48">
        <w:rPr>
          <w:rFonts w:asciiTheme="minorEastAsia" w:eastAsiaTheme="minorEastAsia" w:hAnsiTheme="minorEastAsia" w:hint="eastAsia"/>
          <w:szCs w:val="24"/>
        </w:rPr>
        <w:t>イ</w:t>
      </w:r>
      <w:r>
        <w:rPr>
          <w:rFonts w:asciiTheme="minorEastAsia" w:eastAsiaTheme="minorEastAsia" w:hAnsiTheme="minorEastAsia" w:hint="eastAsia"/>
          <w:szCs w:val="24"/>
        </w:rPr>
        <w:t xml:space="preserve">　</w:t>
      </w:r>
      <w:r w:rsidRPr="005A2A48">
        <w:rPr>
          <w:rFonts w:ascii="ＭＳ Ｐ明朝" w:eastAsia="ＭＳ Ｐ明朝" w:hAnsi="ＭＳ Ｐ明朝" w:hint="eastAsia"/>
          <w:kern w:val="0"/>
          <w:szCs w:val="24"/>
        </w:rPr>
        <w:t>営業外収益</w:t>
      </w:r>
    </w:p>
    <w:p w:rsidR="00E51B98" w:rsidRPr="005A2A48" w:rsidRDefault="00E51B98" w:rsidP="00E51B98">
      <w:pPr>
        <w:kinsoku w:val="0"/>
        <w:overflowPunct w:val="0"/>
        <w:snapToGrid w:val="0"/>
        <w:spacing w:line="340" w:lineRule="atLeast"/>
        <w:ind w:leftChars="-14" w:left="-31" w:right="-428" w:firstLineChars="402" w:firstLine="881"/>
        <w:rPr>
          <w:rFonts w:asciiTheme="minorEastAsia" w:eastAsiaTheme="minorEastAsia" w:hAnsiTheme="minorEastAsia"/>
          <w:szCs w:val="24"/>
        </w:rPr>
      </w:pPr>
      <w:r w:rsidRPr="005A2A48">
        <w:rPr>
          <w:rFonts w:asciiTheme="minorEastAsia" w:eastAsiaTheme="minorEastAsia" w:hAnsiTheme="minorEastAsia" w:hint="eastAsia"/>
          <w:szCs w:val="24"/>
        </w:rPr>
        <w:t>営業外収益は120,606千円で、前年度に比べ1,700千円(1.4％</w:t>
      </w:r>
      <w:r>
        <w:rPr>
          <w:rFonts w:asciiTheme="minorEastAsia" w:eastAsiaTheme="minorEastAsia" w:hAnsiTheme="minorEastAsia" w:hint="eastAsia"/>
          <w:szCs w:val="24"/>
        </w:rPr>
        <w:t>)</w:t>
      </w:r>
      <w:r w:rsidRPr="005A2A48">
        <w:rPr>
          <w:rFonts w:asciiTheme="minorEastAsia" w:eastAsiaTheme="minorEastAsia" w:hAnsiTheme="minorEastAsia" w:hint="eastAsia"/>
          <w:szCs w:val="24"/>
        </w:rPr>
        <w:t>増加している。</w:t>
      </w:r>
    </w:p>
    <w:p w:rsidR="00E51B98" w:rsidRDefault="00E51B98" w:rsidP="00E51B98">
      <w:pPr>
        <w:kinsoku w:val="0"/>
        <w:overflowPunct w:val="0"/>
        <w:snapToGrid w:val="0"/>
        <w:spacing w:line="340" w:lineRule="atLeast"/>
        <w:ind w:right="-3" w:firstLineChars="400" w:firstLine="876"/>
        <w:jc w:val="left"/>
        <w:rPr>
          <w:rFonts w:asciiTheme="minorEastAsia" w:eastAsiaTheme="minorEastAsia" w:hAnsiTheme="minorEastAsia"/>
          <w:szCs w:val="24"/>
        </w:rPr>
      </w:pPr>
      <w:r w:rsidRPr="005A2A48">
        <w:rPr>
          <w:rFonts w:asciiTheme="minorEastAsia" w:eastAsiaTheme="minorEastAsia" w:hAnsiTheme="minorEastAsia" w:hint="eastAsia"/>
          <w:szCs w:val="24"/>
        </w:rPr>
        <w:t>これは主に、</w:t>
      </w:r>
      <w:r>
        <w:rPr>
          <w:rFonts w:asciiTheme="minorEastAsia" w:eastAsiaTheme="minorEastAsia" w:hAnsiTheme="minorEastAsia" w:hint="eastAsia"/>
          <w:szCs w:val="24"/>
        </w:rPr>
        <w:t>下水道使用料徴収受託手数料の</w:t>
      </w:r>
      <w:r w:rsidRPr="005A2A48">
        <w:rPr>
          <w:rFonts w:asciiTheme="minorEastAsia" w:eastAsiaTheme="minorEastAsia" w:hAnsiTheme="minorEastAsia" w:hint="eastAsia"/>
          <w:szCs w:val="24"/>
        </w:rPr>
        <w:t>増加によるものである。</w:t>
      </w:r>
    </w:p>
    <w:p w:rsidR="00E51B98" w:rsidRPr="005A2A48" w:rsidRDefault="00E51B98" w:rsidP="00E51B98">
      <w:pPr>
        <w:kinsoku w:val="0"/>
        <w:overflowPunct w:val="0"/>
        <w:snapToGrid w:val="0"/>
        <w:spacing w:line="340" w:lineRule="atLeast"/>
        <w:ind w:right="-3" w:firstLineChars="400" w:firstLine="876"/>
        <w:jc w:val="left"/>
        <w:rPr>
          <w:rFonts w:asciiTheme="minorEastAsia" w:eastAsiaTheme="minorEastAsia" w:hAnsiTheme="minorEastAsia"/>
          <w:szCs w:val="24"/>
        </w:rPr>
      </w:pPr>
    </w:p>
    <w:p w:rsidR="00E51B98" w:rsidRPr="002A2441" w:rsidRDefault="00E51B98" w:rsidP="00E51B98">
      <w:pPr>
        <w:kinsoku w:val="0"/>
        <w:overflowPunct w:val="0"/>
        <w:snapToGrid w:val="0"/>
        <w:spacing w:line="240" w:lineRule="atLeast"/>
        <w:ind w:right="1020" w:firstLineChars="200" w:firstLine="438"/>
        <w:rPr>
          <w:rFonts w:ascii="ＭＳ Ｐ明朝" w:eastAsia="ＭＳ Ｐ明朝" w:hAnsi="ＭＳ Ｐ明朝"/>
          <w:szCs w:val="24"/>
        </w:rPr>
      </w:pPr>
      <w:r w:rsidRPr="002A2441">
        <w:rPr>
          <w:rFonts w:hAnsi="ＭＳ 明朝" w:hint="eastAsia"/>
          <w:szCs w:val="24"/>
        </w:rPr>
        <w:t>ウ</w:t>
      </w:r>
      <w:r>
        <w:rPr>
          <w:rFonts w:hAnsi="ＭＳ 明朝" w:hint="eastAsia"/>
          <w:szCs w:val="24"/>
        </w:rPr>
        <w:t xml:space="preserve">　</w:t>
      </w:r>
      <w:r w:rsidRPr="002A2441">
        <w:rPr>
          <w:rFonts w:hAnsi="ＭＳ 明朝" w:hint="eastAsia"/>
          <w:kern w:val="0"/>
          <w:szCs w:val="24"/>
        </w:rPr>
        <w:t>特別利益</w:t>
      </w:r>
    </w:p>
    <w:p w:rsidR="00E51B98" w:rsidRDefault="00E51B98" w:rsidP="00E51B98">
      <w:pPr>
        <w:kinsoku w:val="0"/>
        <w:overflowPunct w:val="0"/>
        <w:snapToGrid w:val="0"/>
        <w:spacing w:line="240" w:lineRule="atLeast"/>
        <w:ind w:rightChars="-50" w:right="-110" w:firstLineChars="390" w:firstLine="854"/>
        <w:rPr>
          <w:rFonts w:hAnsi="ＭＳ 明朝"/>
          <w:snapToGrid w:val="0"/>
          <w:szCs w:val="24"/>
        </w:rPr>
      </w:pPr>
      <w:r w:rsidRPr="000A38CD">
        <w:rPr>
          <w:rFonts w:hAnsi="ＭＳ 明朝" w:hint="eastAsia"/>
          <w:snapToGrid w:val="0"/>
          <w:szCs w:val="24"/>
        </w:rPr>
        <w:t>特別利益は</w:t>
      </w:r>
      <w:r>
        <w:rPr>
          <w:rFonts w:hAnsi="ＭＳ 明朝" w:hint="eastAsia"/>
          <w:snapToGrid w:val="0"/>
          <w:szCs w:val="24"/>
        </w:rPr>
        <w:t>87</w:t>
      </w:r>
      <w:r w:rsidRPr="000A38CD">
        <w:rPr>
          <w:rFonts w:hAnsi="ＭＳ 明朝" w:hint="eastAsia"/>
          <w:snapToGrid w:val="0"/>
          <w:szCs w:val="24"/>
        </w:rPr>
        <w:t>千円で、前年度に比べ</w:t>
      </w:r>
      <w:r>
        <w:rPr>
          <w:rFonts w:hAnsi="ＭＳ 明朝" w:hint="eastAsia"/>
          <w:snapToGrid w:val="0"/>
          <w:szCs w:val="24"/>
        </w:rPr>
        <w:t>270千円(△75.6％)減少</w:t>
      </w:r>
      <w:r w:rsidRPr="000A38CD">
        <w:rPr>
          <w:rFonts w:hAnsi="ＭＳ 明朝" w:hint="eastAsia"/>
          <w:snapToGrid w:val="0"/>
          <w:szCs w:val="24"/>
        </w:rPr>
        <w:t>している。</w:t>
      </w:r>
    </w:p>
    <w:p w:rsidR="00E51B98" w:rsidRPr="00F11F41" w:rsidRDefault="00E51B98" w:rsidP="00E51B98">
      <w:pPr>
        <w:kinsoku w:val="0"/>
        <w:overflowPunct w:val="0"/>
        <w:snapToGrid w:val="0"/>
        <w:spacing w:line="240" w:lineRule="atLeast"/>
        <w:ind w:firstLineChars="388" w:firstLine="850"/>
        <w:rPr>
          <w:rFonts w:hAnsi="ＭＳ 明朝"/>
          <w:snapToGrid w:val="0"/>
          <w:kern w:val="0"/>
          <w:szCs w:val="24"/>
        </w:rPr>
      </w:pPr>
      <w:r w:rsidRPr="000519F1">
        <w:rPr>
          <w:rFonts w:hAnsi="ＭＳ 明朝" w:hint="eastAsia"/>
          <w:snapToGrid w:val="0"/>
          <w:kern w:val="0"/>
          <w:szCs w:val="24"/>
        </w:rPr>
        <w:t>これは、下水道使用料徴収受託手数料の精算額の減少によるものである。</w:t>
      </w:r>
    </w:p>
    <w:p w:rsidR="00E51B98" w:rsidRPr="002A2441" w:rsidRDefault="00E51B98" w:rsidP="00E51B98">
      <w:pPr>
        <w:ind w:firstLineChars="100" w:firstLine="219"/>
        <w:rPr>
          <w:szCs w:val="24"/>
        </w:rPr>
      </w:pPr>
      <w:r w:rsidRPr="002A2441">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2A2441">
        <w:rPr>
          <w:rFonts w:hint="eastAsia"/>
          <w:szCs w:val="24"/>
        </w:rPr>
        <w:t>（単位：㎥・％）</w:t>
      </w:r>
    </w:p>
    <w:bookmarkStart w:id="5" w:name="_MON_1436097558"/>
    <w:bookmarkEnd w:id="5"/>
    <w:p w:rsidR="00E51B98" w:rsidRPr="007F033E" w:rsidRDefault="00E51B98">
      <w:pPr>
        <w:rPr>
          <w:sz w:val="18"/>
          <w:szCs w:val="18"/>
        </w:rPr>
      </w:pPr>
      <w:r w:rsidRPr="00534ACC">
        <w:rPr>
          <w:sz w:val="22"/>
        </w:rPr>
        <w:object w:dxaOrig="10143" w:dyaOrig="5081">
          <v:shape id="_x0000_i1030" type="#_x0000_t75" style="width:480pt;height:205.5pt" o:ole="" o:preferrelative="f">
            <v:imagedata r:id="rId21" o:title=""/>
          </v:shape>
          <o:OLEObject Type="Embed" ProgID="Excel.Sheet.12" ShapeID="_x0000_i1030" DrawAspect="Content" ObjectID="_1470640277" r:id="rId22"/>
        </w:object>
      </w:r>
      <w:r>
        <w:rPr>
          <w:rFonts w:hint="eastAsia"/>
          <w:sz w:val="22"/>
        </w:rPr>
        <w:t xml:space="preserve">　</w:t>
      </w:r>
      <w:r w:rsidRPr="007F033E">
        <w:rPr>
          <w:rFonts w:hint="eastAsia"/>
          <w:sz w:val="18"/>
          <w:szCs w:val="18"/>
        </w:rPr>
        <w:t>（注）</w:t>
      </w:r>
      <w:r>
        <w:rPr>
          <w:rFonts w:hint="eastAsia"/>
          <w:sz w:val="18"/>
          <w:szCs w:val="18"/>
        </w:rPr>
        <w:t xml:space="preserve">　</w:t>
      </w:r>
      <w:r w:rsidRPr="007F033E">
        <w:rPr>
          <w:rFonts w:hint="eastAsia"/>
          <w:sz w:val="18"/>
          <w:szCs w:val="18"/>
        </w:rPr>
        <w:t>有収水量は、年度当初の検針から年度末までの調定水量である。</w:t>
      </w:r>
    </w:p>
    <w:p w:rsidR="00E51B98" w:rsidRDefault="00E51B98" w:rsidP="00E51B98">
      <w:pPr>
        <w:ind w:firstLineChars="400" w:firstLine="636"/>
        <w:rPr>
          <w:sz w:val="18"/>
          <w:szCs w:val="18"/>
        </w:rPr>
      </w:pPr>
      <w:r>
        <w:rPr>
          <w:rFonts w:hint="eastAsia"/>
          <w:sz w:val="18"/>
          <w:szCs w:val="18"/>
        </w:rPr>
        <w:t>なお、検針は市内を２つに分けて、２か</w:t>
      </w:r>
      <w:r w:rsidRPr="007F033E">
        <w:rPr>
          <w:rFonts w:hint="eastAsia"/>
          <w:sz w:val="18"/>
          <w:szCs w:val="18"/>
        </w:rPr>
        <w:t>月に１回の隔月検針である。</w:t>
      </w:r>
    </w:p>
    <w:p w:rsidR="00E51B98" w:rsidRPr="007F033E" w:rsidRDefault="00E51B98" w:rsidP="00E51B98">
      <w:pPr>
        <w:ind w:firstLineChars="400" w:firstLine="636"/>
        <w:rPr>
          <w:sz w:val="18"/>
          <w:szCs w:val="18"/>
        </w:rPr>
      </w:pPr>
    </w:p>
    <w:p w:rsidR="00E51B98" w:rsidRPr="000A38CD" w:rsidRDefault="00E51B98" w:rsidP="00E51B98">
      <w:pPr>
        <w:kinsoku w:val="0"/>
        <w:wordWrap w:val="0"/>
        <w:overflowPunct w:val="0"/>
        <w:snapToGrid w:val="0"/>
        <w:spacing w:line="362" w:lineRule="exact"/>
        <w:ind w:right="72" w:firstLineChars="200" w:firstLine="438"/>
        <w:rPr>
          <w:rFonts w:hAnsi="ＭＳ 明朝"/>
          <w:szCs w:val="24"/>
        </w:rPr>
      </w:pPr>
      <w:r>
        <w:rPr>
          <w:rFonts w:hAnsi="ＭＳ 明朝" w:hint="eastAsia"/>
          <w:szCs w:val="24"/>
        </w:rPr>
        <w:t>総配水量は16,063,270</w:t>
      </w:r>
      <w:r w:rsidRPr="000A38CD">
        <w:rPr>
          <w:rFonts w:hAnsi="ＭＳ 明朝" w:hint="eastAsia"/>
          <w:szCs w:val="24"/>
        </w:rPr>
        <w:t>㎥で</w:t>
      </w:r>
      <w:r>
        <w:rPr>
          <w:rFonts w:hAnsi="ＭＳ 明朝" w:hint="eastAsia"/>
          <w:szCs w:val="24"/>
        </w:rPr>
        <w:t>、</w:t>
      </w:r>
      <w:r w:rsidRPr="000A38CD">
        <w:rPr>
          <w:rFonts w:hAnsi="ＭＳ 明朝" w:hint="eastAsia"/>
          <w:szCs w:val="24"/>
        </w:rPr>
        <w:t>前年度に比べ</w:t>
      </w:r>
      <w:r>
        <w:rPr>
          <w:rFonts w:hAnsi="ＭＳ 明朝" w:hint="eastAsia"/>
          <w:szCs w:val="24"/>
        </w:rPr>
        <w:t>336,750</w:t>
      </w:r>
      <w:r w:rsidRPr="000A38CD">
        <w:rPr>
          <w:rFonts w:hAnsi="ＭＳ 明朝" w:hint="eastAsia"/>
          <w:szCs w:val="24"/>
        </w:rPr>
        <w:t>㎥</w:t>
      </w:r>
      <w:r>
        <w:rPr>
          <w:rFonts w:hAnsi="ＭＳ 明朝" w:hint="eastAsia"/>
          <w:szCs w:val="24"/>
        </w:rPr>
        <w:t>(</w:t>
      </w:r>
      <w:r w:rsidRPr="000A38CD">
        <w:rPr>
          <w:rFonts w:hAnsi="ＭＳ 明朝" w:hint="eastAsia"/>
          <w:szCs w:val="24"/>
        </w:rPr>
        <w:t>△</w:t>
      </w:r>
      <w:r>
        <w:rPr>
          <w:rFonts w:hAnsi="ＭＳ 明朝" w:hint="eastAsia"/>
          <w:szCs w:val="24"/>
        </w:rPr>
        <w:t>2.1</w:t>
      </w:r>
      <w:r w:rsidRPr="000A38CD">
        <w:rPr>
          <w:rFonts w:hAnsi="ＭＳ 明朝" w:hint="eastAsia"/>
          <w:szCs w:val="24"/>
        </w:rPr>
        <w:t>％</w:t>
      </w:r>
      <w:r>
        <w:rPr>
          <w:rFonts w:hAnsi="ＭＳ 明朝" w:hint="eastAsia"/>
          <w:szCs w:val="24"/>
        </w:rPr>
        <w:t>)</w:t>
      </w:r>
      <w:r w:rsidRPr="000A38CD">
        <w:rPr>
          <w:rFonts w:hAnsi="ＭＳ 明朝" w:hint="eastAsia"/>
          <w:szCs w:val="24"/>
        </w:rPr>
        <w:t>減少している。</w:t>
      </w:r>
    </w:p>
    <w:p w:rsidR="00E51B98" w:rsidRDefault="00E51B98" w:rsidP="00E51B98">
      <w:pPr>
        <w:kinsoku w:val="0"/>
        <w:overflowPunct w:val="0"/>
        <w:snapToGrid w:val="0"/>
        <w:spacing w:line="362" w:lineRule="exact"/>
        <w:ind w:leftChars="100" w:left="219" w:firstLineChars="100" w:firstLine="219"/>
        <w:jc w:val="left"/>
        <w:rPr>
          <w:rFonts w:hAnsi="ＭＳ 明朝"/>
          <w:szCs w:val="24"/>
        </w:rPr>
      </w:pPr>
      <w:r w:rsidRPr="000A38CD">
        <w:rPr>
          <w:rFonts w:hAnsi="ＭＳ 明朝" w:hint="eastAsia"/>
          <w:szCs w:val="24"/>
        </w:rPr>
        <w:t>有効水量は前年度に比べ</w:t>
      </w:r>
      <w:r>
        <w:rPr>
          <w:rFonts w:hAnsi="ＭＳ 明朝" w:hint="eastAsia"/>
          <w:szCs w:val="24"/>
        </w:rPr>
        <w:t>368,321</w:t>
      </w:r>
      <w:r w:rsidRPr="000A38CD">
        <w:rPr>
          <w:rFonts w:hAnsi="ＭＳ 明朝" w:hint="eastAsia"/>
          <w:szCs w:val="24"/>
        </w:rPr>
        <w:t>㎥（</w:t>
      </w:r>
      <w:r w:rsidRPr="00693004">
        <w:rPr>
          <w:rFonts w:asciiTheme="minorEastAsia" w:eastAsiaTheme="minorEastAsia" w:hAnsiTheme="minorEastAsia" w:hint="eastAsia"/>
          <w:szCs w:val="24"/>
        </w:rPr>
        <w:t>△2.4％</w:t>
      </w:r>
      <w:r w:rsidRPr="000A38CD">
        <w:rPr>
          <w:rFonts w:ascii="ＭＳ Ｐ明朝" w:eastAsia="ＭＳ Ｐ明朝" w:hAnsi="ＭＳ Ｐ明朝" w:hint="eastAsia"/>
          <w:szCs w:val="24"/>
        </w:rPr>
        <w:t>）</w:t>
      </w:r>
      <w:r w:rsidRPr="000A38CD">
        <w:rPr>
          <w:rFonts w:hAnsi="ＭＳ 明朝" w:hint="eastAsia"/>
          <w:szCs w:val="24"/>
        </w:rPr>
        <w:t>減少し、無効水量は前年度に比べ</w:t>
      </w:r>
      <w:r>
        <w:rPr>
          <w:rFonts w:hAnsi="ＭＳ 明朝" w:hint="eastAsia"/>
          <w:szCs w:val="24"/>
        </w:rPr>
        <w:t>31,571</w:t>
      </w:r>
      <w:r w:rsidRPr="000A38CD">
        <w:rPr>
          <w:rFonts w:hAnsi="ＭＳ 明朝" w:hint="eastAsia"/>
          <w:szCs w:val="24"/>
        </w:rPr>
        <w:t>㎥</w:t>
      </w:r>
    </w:p>
    <w:p w:rsidR="00E51B98" w:rsidRDefault="00E51B98" w:rsidP="00E51B98">
      <w:pPr>
        <w:kinsoku w:val="0"/>
        <w:overflowPunct w:val="0"/>
        <w:snapToGrid w:val="0"/>
        <w:spacing w:line="362" w:lineRule="exact"/>
        <w:ind w:firstLineChars="100" w:firstLine="219"/>
        <w:jc w:val="left"/>
        <w:rPr>
          <w:rFonts w:hAnsi="ＭＳ 明朝"/>
          <w:szCs w:val="24"/>
        </w:rPr>
      </w:pPr>
      <w:r>
        <w:rPr>
          <w:rFonts w:hAnsi="ＭＳ 明朝" w:hint="eastAsia"/>
          <w:szCs w:val="24"/>
        </w:rPr>
        <w:t>(3.3</w:t>
      </w:r>
      <w:r w:rsidRPr="000A38CD">
        <w:rPr>
          <w:rFonts w:hAnsi="ＭＳ 明朝" w:hint="eastAsia"/>
          <w:szCs w:val="24"/>
        </w:rPr>
        <w:t>％</w:t>
      </w:r>
      <w:r>
        <w:rPr>
          <w:rFonts w:hAnsi="ＭＳ 明朝" w:hint="eastAsia"/>
          <w:szCs w:val="24"/>
        </w:rPr>
        <w:t>)増加</w:t>
      </w:r>
      <w:r w:rsidRPr="000A38CD">
        <w:rPr>
          <w:rFonts w:hAnsi="ＭＳ 明朝" w:hint="eastAsia"/>
          <w:szCs w:val="24"/>
        </w:rPr>
        <w:t>している。有収水量は</w:t>
      </w:r>
      <w:r>
        <w:rPr>
          <w:rFonts w:hAnsi="ＭＳ 明朝" w:hint="eastAsia"/>
          <w:szCs w:val="24"/>
        </w:rPr>
        <w:t>14,492,977</w:t>
      </w:r>
      <w:r w:rsidRPr="000A38CD">
        <w:rPr>
          <w:rFonts w:hAnsi="ＭＳ 明朝" w:hint="eastAsia"/>
          <w:szCs w:val="24"/>
        </w:rPr>
        <w:t>㎥で</w:t>
      </w:r>
      <w:r>
        <w:rPr>
          <w:rFonts w:hAnsi="ＭＳ 明朝" w:hint="eastAsia"/>
          <w:szCs w:val="24"/>
        </w:rPr>
        <w:t>、</w:t>
      </w:r>
      <w:r w:rsidRPr="000A38CD">
        <w:rPr>
          <w:rFonts w:hAnsi="ＭＳ 明朝" w:hint="eastAsia"/>
          <w:szCs w:val="24"/>
        </w:rPr>
        <w:t>前年度に比べ</w:t>
      </w:r>
      <w:r>
        <w:rPr>
          <w:rFonts w:hAnsi="ＭＳ 明朝" w:hint="eastAsia"/>
          <w:szCs w:val="24"/>
        </w:rPr>
        <w:t>283,381㎥(</w:t>
      </w:r>
      <w:r w:rsidRPr="000A38CD">
        <w:rPr>
          <w:rFonts w:hAnsi="ＭＳ 明朝" w:hint="eastAsia"/>
          <w:szCs w:val="24"/>
        </w:rPr>
        <w:t>△</w:t>
      </w:r>
      <w:r>
        <w:rPr>
          <w:rFonts w:hAnsi="ＭＳ 明朝" w:hint="eastAsia"/>
          <w:szCs w:val="24"/>
        </w:rPr>
        <w:t>1.9％)</w:t>
      </w:r>
      <w:r w:rsidRPr="000A38CD">
        <w:rPr>
          <w:rFonts w:hAnsi="ＭＳ 明朝" w:hint="eastAsia"/>
          <w:szCs w:val="24"/>
        </w:rPr>
        <w:t>減少</w:t>
      </w:r>
    </w:p>
    <w:p w:rsidR="00E51B98" w:rsidRPr="000A38CD" w:rsidRDefault="00E51B98" w:rsidP="00E51B98">
      <w:pPr>
        <w:kinsoku w:val="0"/>
        <w:overflowPunct w:val="0"/>
        <w:snapToGrid w:val="0"/>
        <w:spacing w:line="362" w:lineRule="exact"/>
        <w:ind w:firstLineChars="114" w:firstLine="250"/>
        <w:jc w:val="left"/>
        <w:rPr>
          <w:rFonts w:hAnsi="ＭＳ 明朝"/>
          <w:szCs w:val="24"/>
        </w:rPr>
      </w:pPr>
      <w:r w:rsidRPr="000A38CD">
        <w:rPr>
          <w:rFonts w:hAnsi="ＭＳ 明朝" w:hint="eastAsia"/>
          <w:szCs w:val="24"/>
        </w:rPr>
        <w:t>している。</w:t>
      </w:r>
    </w:p>
    <w:p w:rsidR="00E51B98" w:rsidRPr="000A38CD" w:rsidRDefault="00E51B98" w:rsidP="007F033E">
      <w:pPr>
        <w:kinsoku w:val="0"/>
        <w:overflowPunct w:val="0"/>
        <w:snapToGrid w:val="0"/>
        <w:spacing w:line="362" w:lineRule="exact"/>
        <w:jc w:val="left"/>
        <w:rPr>
          <w:rFonts w:hAnsi="ＭＳ 明朝"/>
          <w:szCs w:val="24"/>
        </w:rPr>
      </w:pPr>
    </w:p>
    <w:p w:rsidR="00E51B98" w:rsidRDefault="00E51B98" w:rsidP="00E51B98">
      <w:pPr>
        <w:kinsoku w:val="0"/>
        <w:overflowPunct w:val="0"/>
        <w:snapToGrid w:val="0"/>
        <w:spacing w:line="362" w:lineRule="exact"/>
        <w:ind w:firstLineChars="100" w:firstLine="219"/>
        <w:jc w:val="left"/>
        <w:rPr>
          <w:rFonts w:hAnsi="ＭＳ 明朝"/>
          <w:szCs w:val="24"/>
        </w:rPr>
      </w:pPr>
      <w:r w:rsidRPr="001B2828">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0A38CD">
        <w:rPr>
          <w:rFonts w:hAnsi="ＭＳ 明朝" w:hint="eastAsia"/>
          <w:szCs w:val="24"/>
        </w:rPr>
        <w:t xml:space="preserve">　　（単位：㎥・千円・％）</w:t>
      </w:r>
    </w:p>
    <w:bookmarkStart w:id="6" w:name="_MON_1436104113"/>
    <w:bookmarkEnd w:id="6"/>
    <w:p w:rsidR="00E51B98" w:rsidRDefault="00E51B98" w:rsidP="00E51B98">
      <w:pPr>
        <w:kinsoku w:val="0"/>
        <w:overflowPunct w:val="0"/>
        <w:snapToGrid w:val="0"/>
        <w:jc w:val="left"/>
        <w:rPr>
          <w:rFonts w:hAnsi="ＭＳ 明朝"/>
          <w:szCs w:val="24"/>
        </w:rPr>
      </w:pPr>
      <w:r w:rsidRPr="00534ACC">
        <w:rPr>
          <w:rFonts w:hAnsi="ＭＳ 明朝"/>
          <w:szCs w:val="24"/>
        </w:rPr>
        <w:object w:dxaOrig="10947" w:dyaOrig="5359">
          <v:shape id="_x0000_i1031" type="#_x0000_t75" style="width:480.75pt;height:247.5pt" o:ole="" o:preferrelative="f">
            <v:imagedata r:id="rId23" o:title=""/>
            <o:lock v:ext="edit" aspectratio="f"/>
          </v:shape>
          <o:OLEObject Type="Embed" ProgID="Excel.Sheet.12" ShapeID="_x0000_i1031" DrawAspect="Content" ObjectID="_1470640278" r:id="rId24"/>
        </w:object>
      </w:r>
      <w:r>
        <w:rPr>
          <w:rFonts w:hAnsi="ＭＳ 明朝" w:hint="eastAsia"/>
          <w:szCs w:val="24"/>
        </w:rPr>
        <w:t xml:space="preserve">　</w:t>
      </w:r>
    </w:p>
    <w:p w:rsidR="00E51B98" w:rsidRDefault="00E51B98" w:rsidP="00E51B98">
      <w:pPr>
        <w:kinsoku w:val="0"/>
        <w:overflowPunct w:val="0"/>
        <w:snapToGrid w:val="0"/>
        <w:jc w:val="left"/>
        <w:rPr>
          <w:rFonts w:hAnsi="ＭＳ 明朝"/>
          <w:szCs w:val="24"/>
        </w:rPr>
      </w:pPr>
    </w:p>
    <w:p w:rsidR="00E51B98" w:rsidRPr="00090E24" w:rsidRDefault="00E51B98" w:rsidP="00E51B98">
      <w:pPr>
        <w:kinsoku w:val="0"/>
        <w:overflowPunct w:val="0"/>
        <w:snapToGrid w:val="0"/>
        <w:ind w:leftChars="100" w:left="219" w:firstLineChars="100" w:firstLine="223"/>
        <w:jc w:val="left"/>
        <w:rPr>
          <w:rFonts w:hAnsi="ＭＳ 明朝"/>
          <w:szCs w:val="24"/>
        </w:rPr>
      </w:pPr>
      <w:r w:rsidRPr="00090E24">
        <w:rPr>
          <w:rFonts w:hAnsi="ＭＳ 明朝" w:hint="eastAsia"/>
          <w:spacing w:val="2"/>
          <w:szCs w:val="24"/>
        </w:rPr>
        <w:t>用途別では、前年度と比べ工場用で3,163㎥(0.5％）、金額にして749千円(0.5％)増加した</w:t>
      </w:r>
      <w:r w:rsidRPr="00A00D0F">
        <w:rPr>
          <w:rFonts w:hAnsi="ＭＳ 明朝" w:hint="eastAsia"/>
          <w:w w:val="91"/>
          <w:kern w:val="0"/>
          <w:szCs w:val="24"/>
          <w:fitText w:val="9504" w:id="659824897"/>
        </w:rPr>
        <w:t>ものの、家庭用で129,645㎥(△1.2％)、金額にして23,101千円(△1.2％)、営業用で132,935</w:t>
      </w:r>
      <w:r w:rsidRPr="00A00D0F">
        <w:rPr>
          <w:rFonts w:hAnsi="ＭＳ 明朝" w:hint="eastAsia"/>
          <w:spacing w:val="21"/>
          <w:w w:val="91"/>
          <w:kern w:val="0"/>
          <w:szCs w:val="24"/>
          <w:fitText w:val="9504" w:id="659824897"/>
        </w:rPr>
        <w:t>㎥</w:t>
      </w:r>
      <w:r w:rsidRPr="00090E24">
        <w:rPr>
          <w:rFonts w:hAnsi="ＭＳ 明朝" w:hint="eastAsia"/>
          <w:szCs w:val="24"/>
        </w:rPr>
        <w:t>(△5.4％）、金額にして31,866千円(△5.5％)とそれぞれ減少している。</w:t>
      </w:r>
    </w:p>
    <w:p w:rsidR="00E51B98" w:rsidRPr="00B85E49" w:rsidRDefault="00E51B98" w:rsidP="00E51B98">
      <w:pPr>
        <w:kinsoku w:val="0"/>
        <w:overflowPunct w:val="0"/>
        <w:snapToGrid w:val="0"/>
        <w:jc w:val="left"/>
        <w:rPr>
          <w:rFonts w:asciiTheme="minorEastAsia" w:eastAsiaTheme="minorEastAsia" w:hAnsiTheme="minorEastAsia"/>
          <w:szCs w:val="24"/>
        </w:rPr>
      </w:pPr>
    </w:p>
    <w:p w:rsidR="00E51B98" w:rsidRPr="00151886" w:rsidRDefault="00E51B98" w:rsidP="00E51B9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　費用の</w:t>
      </w:r>
      <w:r w:rsidRPr="00151886">
        <w:rPr>
          <w:rFonts w:ascii="ＭＳ ゴシック" w:eastAsia="ＭＳ ゴシック" w:hAnsi="ＭＳ ゴシック" w:hint="eastAsia"/>
          <w:szCs w:val="24"/>
        </w:rPr>
        <w:t>部</w:t>
      </w:r>
    </w:p>
    <w:p w:rsidR="00E51B98" w:rsidRPr="00151886" w:rsidRDefault="00E51B98" w:rsidP="00E51B98">
      <w:pPr>
        <w:ind w:firstLineChars="300" w:firstLine="657"/>
        <w:rPr>
          <w:szCs w:val="24"/>
        </w:rPr>
      </w:pPr>
      <w:r w:rsidRPr="00151886">
        <w:rPr>
          <w:rFonts w:hint="eastAsia"/>
          <w:szCs w:val="24"/>
        </w:rPr>
        <w:t>費用の内訳は、下表のとおりである。</w:t>
      </w:r>
    </w:p>
    <w:p w:rsidR="00E51B98" w:rsidRPr="00151886" w:rsidRDefault="00E51B98" w:rsidP="00E51B98">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7" w:name="_MON_1436171948"/>
    <w:bookmarkEnd w:id="7"/>
    <w:p w:rsidR="00E51B98" w:rsidRDefault="00E51B98" w:rsidP="00E51B98">
      <w:pPr>
        <w:kinsoku w:val="0"/>
        <w:overflowPunct w:val="0"/>
        <w:snapToGrid w:val="0"/>
        <w:jc w:val="left"/>
        <w:rPr>
          <w:rFonts w:hAnsi="ＭＳ 明朝"/>
          <w:szCs w:val="24"/>
        </w:rPr>
      </w:pPr>
      <w:r w:rsidRPr="00534ACC">
        <w:rPr>
          <w:rFonts w:hAnsi="ＭＳ 明朝"/>
          <w:szCs w:val="24"/>
        </w:rPr>
        <w:object w:dxaOrig="10343" w:dyaOrig="5394">
          <v:shape id="_x0000_i1032" type="#_x0000_t75" style="width:479.25pt;height:313.5pt" o:ole="">
            <v:imagedata r:id="rId25" o:title=""/>
          </v:shape>
          <o:OLEObject Type="Embed" ProgID="Excel.Sheet.12" ShapeID="_x0000_i1032" DrawAspect="Content" ObjectID="_1470640279" r:id="rId26"/>
        </w:object>
      </w:r>
    </w:p>
    <w:p w:rsidR="00E51B98" w:rsidRDefault="00E51B98" w:rsidP="00E51B98">
      <w:pPr>
        <w:kinsoku w:val="0"/>
        <w:overflowPunct w:val="0"/>
        <w:snapToGrid w:val="0"/>
        <w:jc w:val="left"/>
        <w:rPr>
          <w:rFonts w:hAnsi="ＭＳ 明朝"/>
          <w:szCs w:val="24"/>
        </w:rPr>
      </w:pPr>
    </w:p>
    <w:p w:rsidR="00E51B98" w:rsidRDefault="00E51B98" w:rsidP="00E51B98">
      <w:pPr>
        <w:kinsoku w:val="0"/>
        <w:overflowPunct w:val="0"/>
        <w:snapToGrid w:val="0"/>
        <w:jc w:val="left"/>
        <w:rPr>
          <w:rFonts w:hAnsi="ＭＳ 明朝"/>
          <w:szCs w:val="24"/>
        </w:rPr>
      </w:pPr>
    </w:p>
    <w:p w:rsidR="00E51B98" w:rsidRDefault="00E51B98" w:rsidP="00E51B98">
      <w:pPr>
        <w:kinsoku w:val="0"/>
        <w:overflowPunct w:val="0"/>
        <w:snapToGrid w:val="0"/>
        <w:spacing w:line="362" w:lineRule="exact"/>
        <w:ind w:firstLineChars="100" w:firstLine="219"/>
        <w:jc w:val="left"/>
        <w:rPr>
          <w:rFonts w:hAnsi="ＭＳ 明朝"/>
          <w:szCs w:val="24"/>
        </w:rPr>
      </w:pPr>
      <w:r w:rsidRPr="00151886">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sidRPr="00151886">
        <w:rPr>
          <w:rFonts w:hAnsi="ＭＳ 明朝" w:hint="eastAsia"/>
          <w:szCs w:val="24"/>
        </w:rPr>
        <w:t>（単位：千円・％）</w:t>
      </w:r>
    </w:p>
    <w:bookmarkStart w:id="8" w:name="_MON_1436177322"/>
    <w:bookmarkEnd w:id="8"/>
    <w:p w:rsidR="00E51B98" w:rsidRPr="00D9731E" w:rsidRDefault="00E51B98" w:rsidP="00E51B98">
      <w:pPr>
        <w:kinsoku w:val="0"/>
        <w:overflowPunct w:val="0"/>
        <w:snapToGrid w:val="0"/>
        <w:jc w:val="left"/>
        <w:rPr>
          <w:rFonts w:hAnsi="ＭＳ 明朝"/>
          <w:sz w:val="18"/>
          <w:szCs w:val="18"/>
        </w:rPr>
      </w:pPr>
      <w:r w:rsidRPr="00534ACC">
        <w:rPr>
          <w:rFonts w:hAnsi="ＭＳ 明朝"/>
          <w:sz w:val="22"/>
        </w:rPr>
        <w:object w:dxaOrig="9132" w:dyaOrig="5898">
          <v:shape id="_x0000_i1033" type="#_x0000_t75" style="width:479.25pt;height:299.25pt" o:ole="">
            <v:imagedata r:id="rId27" o:title=""/>
          </v:shape>
          <o:OLEObject Type="Embed" ProgID="Excel.Sheet.12" ShapeID="_x0000_i1033" DrawAspect="Content" ObjectID="_1470640280" r:id="rId28"/>
        </w:object>
      </w:r>
      <w:r>
        <w:rPr>
          <w:rFonts w:hAnsi="ＭＳ 明朝" w:hint="eastAsia"/>
          <w:sz w:val="22"/>
        </w:rPr>
        <w:t xml:space="preserve">　</w:t>
      </w:r>
      <w:r w:rsidRPr="00A75B3D">
        <w:rPr>
          <w:rFonts w:hAnsi="ＭＳ 明朝" w:hint="eastAsia"/>
          <w:sz w:val="18"/>
          <w:szCs w:val="18"/>
        </w:rPr>
        <w:t>（注）区分は日本水道協会「水道統計」に準拠した。</w:t>
      </w:r>
    </w:p>
    <w:p w:rsidR="00E51B98" w:rsidRPr="00B442E9" w:rsidRDefault="00E51B98" w:rsidP="00E51B98">
      <w:pPr>
        <w:spacing w:line="360" w:lineRule="exact"/>
        <w:ind w:firstLineChars="200" w:firstLine="438"/>
        <w:jc w:val="left"/>
        <w:rPr>
          <w:rFonts w:hAnsi="ＭＳ 明朝"/>
          <w:spacing w:val="12"/>
          <w:szCs w:val="24"/>
        </w:rPr>
      </w:pPr>
      <w:r>
        <w:rPr>
          <w:rFonts w:hAnsi="ＭＳ 明朝" w:hint="eastAsia"/>
          <w:szCs w:val="24"/>
        </w:rPr>
        <w:lastRenderedPageBreak/>
        <w:t xml:space="preserve">ア　</w:t>
      </w:r>
      <w:r w:rsidRPr="00B442E9">
        <w:rPr>
          <w:rFonts w:hAnsi="ＭＳ 明朝" w:hint="eastAsia"/>
          <w:spacing w:val="12"/>
          <w:szCs w:val="24"/>
        </w:rPr>
        <w:t>営業費用</w:t>
      </w:r>
    </w:p>
    <w:p w:rsidR="00E51B98" w:rsidRPr="00B442E9" w:rsidRDefault="00E51B98" w:rsidP="00E51B98">
      <w:pPr>
        <w:spacing w:line="360" w:lineRule="exact"/>
        <w:ind w:firstLineChars="350" w:firstLine="851"/>
        <w:jc w:val="left"/>
        <w:rPr>
          <w:rFonts w:hAnsi="ＭＳ 明朝"/>
          <w:spacing w:val="12"/>
          <w:szCs w:val="24"/>
        </w:rPr>
      </w:pPr>
      <w:r w:rsidRPr="00B442E9">
        <w:rPr>
          <w:rFonts w:hAnsi="ＭＳ 明朝" w:hint="eastAsia"/>
          <w:spacing w:val="12"/>
          <w:kern w:val="0"/>
          <w:szCs w:val="24"/>
        </w:rPr>
        <w:t>営業費用は2,598,340千円で、前年度に比べ21,467千円(△0.8％)減少している。</w:t>
      </w:r>
    </w:p>
    <w:p w:rsidR="00E51B98" w:rsidRDefault="00E51B98" w:rsidP="00E51B98">
      <w:pPr>
        <w:spacing w:line="360" w:lineRule="exact"/>
        <w:ind w:firstLineChars="250" w:firstLine="553"/>
        <w:rPr>
          <w:rFonts w:hAnsi="ＭＳ 明朝"/>
          <w:spacing w:val="12"/>
          <w:szCs w:val="24"/>
        </w:rPr>
      </w:pPr>
      <w:r w:rsidRPr="00A00D0F">
        <w:rPr>
          <w:rFonts w:hAnsi="ＭＳ 明朝" w:hint="eastAsia"/>
          <w:spacing w:val="1"/>
          <w:kern w:val="0"/>
          <w:szCs w:val="24"/>
          <w:fitText w:val="9053" w:id="660259840"/>
        </w:rPr>
        <w:t>これは主に、受託事業費が14,639千円(154.8%)増加したものの、配水及び給水費</w:t>
      </w:r>
      <w:r w:rsidRPr="00A00D0F">
        <w:rPr>
          <w:rFonts w:hAnsi="ＭＳ 明朝" w:hint="eastAsia"/>
          <w:spacing w:val="-10"/>
          <w:kern w:val="0"/>
          <w:szCs w:val="24"/>
          <w:fitText w:val="9053" w:id="660259840"/>
        </w:rPr>
        <w:t>が</w:t>
      </w:r>
    </w:p>
    <w:p w:rsidR="00E51B98" w:rsidRDefault="00E51B98" w:rsidP="00E51B98">
      <w:pPr>
        <w:spacing w:line="360" w:lineRule="exact"/>
        <w:ind w:firstLineChars="250" w:firstLine="608"/>
        <w:jc w:val="distribute"/>
        <w:rPr>
          <w:rFonts w:hAnsi="ＭＳ 明朝"/>
          <w:spacing w:val="12"/>
          <w:szCs w:val="24"/>
        </w:rPr>
      </w:pPr>
      <w:r w:rsidRPr="00B442E9">
        <w:rPr>
          <w:rFonts w:hAnsi="ＭＳ 明朝" w:hint="eastAsia"/>
          <w:spacing w:val="12"/>
          <w:szCs w:val="24"/>
        </w:rPr>
        <w:t>35,664千円(△10.7％)及び資産減耗費が13,911千円(△28.0％)とそれぞれ減少</w:t>
      </w:r>
    </w:p>
    <w:p w:rsidR="00E51B98" w:rsidRPr="00B442E9" w:rsidRDefault="00E51B98" w:rsidP="00E51B98">
      <w:pPr>
        <w:spacing w:line="360" w:lineRule="exact"/>
        <w:ind w:firstLineChars="250" w:firstLine="608"/>
        <w:jc w:val="left"/>
        <w:rPr>
          <w:rFonts w:hAnsi="ＭＳ 明朝"/>
          <w:spacing w:val="12"/>
          <w:szCs w:val="24"/>
        </w:rPr>
      </w:pPr>
      <w:r w:rsidRPr="00B442E9">
        <w:rPr>
          <w:rFonts w:hAnsi="ＭＳ 明朝" w:hint="eastAsia"/>
          <w:spacing w:val="12"/>
          <w:szCs w:val="24"/>
        </w:rPr>
        <w:t>したことによるものである。</w:t>
      </w:r>
    </w:p>
    <w:p w:rsidR="00E51B98" w:rsidRPr="00B442E9" w:rsidRDefault="00E51B98" w:rsidP="00E51B98">
      <w:pPr>
        <w:tabs>
          <w:tab w:val="left" w:pos="709"/>
        </w:tabs>
        <w:spacing w:line="360" w:lineRule="exact"/>
        <w:ind w:leftChars="323" w:left="708" w:firstLineChars="64" w:firstLine="156"/>
        <w:jc w:val="left"/>
        <w:rPr>
          <w:rFonts w:hAnsi="ＭＳ 明朝"/>
          <w:spacing w:val="12"/>
          <w:szCs w:val="24"/>
        </w:rPr>
      </w:pPr>
      <w:r w:rsidRPr="00B442E9">
        <w:rPr>
          <w:rFonts w:hAnsi="ＭＳ 明朝" w:hint="eastAsia"/>
          <w:spacing w:val="12"/>
          <w:szCs w:val="24"/>
        </w:rPr>
        <w:t>受水費は735,312千円で、前年度に比べ11,783千円(△1.6％)減少している。</w:t>
      </w:r>
    </w:p>
    <w:p w:rsidR="00E51B98" w:rsidRPr="00B442E9" w:rsidRDefault="00E51B98" w:rsidP="00E51B98">
      <w:pPr>
        <w:tabs>
          <w:tab w:val="left" w:pos="709"/>
        </w:tabs>
        <w:spacing w:line="360" w:lineRule="exact"/>
        <w:ind w:firstLineChars="350" w:firstLine="851"/>
        <w:jc w:val="left"/>
        <w:rPr>
          <w:rFonts w:hAnsi="ＭＳ 明朝"/>
          <w:spacing w:val="12"/>
          <w:szCs w:val="24"/>
        </w:rPr>
      </w:pPr>
      <w:r w:rsidRPr="00B442E9">
        <w:rPr>
          <w:rFonts w:hAnsi="ＭＳ 明朝" w:hint="eastAsia"/>
          <w:spacing w:val="12"/>
          <w:kern w:val="0"/>
          <w:szCs w:val="24"/>
        </w:rPr>
        <w:t>これは、和田川の受水費の精算に</w:t>
      </w:r>
      <w:r w:rsidRPr="00B442E9">
        <w:rPr>
          <w:rFonts w:hAnsi="ＭＳ 明朝" w:hint="eastAsia"/>
          <w:spacing w:val="12"/>
          <w:szCs w:val="24"/>
        </w:rPr>
        <w:t>よるものである。</w:t>
      </w:r>
    </w:p>
    <w:p w:rsidR="00E51B98" w:rsidRPr="00151886" w:rsidRDefault="00E51B98" w:rsidP="00E51B98">
      <w:pPr>
        <w:spacing w:line="360" w:lineRule="exact"/>
        <w:ind w:left="219" w:hangingChars="100" w:hanging="219"/>
        <w:jc w:val="left"/>
        <w:rPr>
          <w:rFonts w:hAnsi="ＭＳ 明朝"/>
          <w:szCs w:val="24"/>
        </w:rPr>
      </w:pPr>
    </w:p>
    <w:p w:rsidR="00E51B98" w:rsidRPr="00B442E9" w:rsidRDefault="00E51B98" w:rsidP="00E51B98">
      <w:pPr>
        <w:spacing w:line="360" w:lineRule="exact"/>
        <w:ind w:firstLineChars="200" w:firstLine="438"/>
        <w:jc w:val="left"/>
        <w:rPr>
          <w:rFonts w:asciiTheme="minorEastAsia" w:eastAsiaTheme="minorEastAsia" w:hAnsiTheme="minorEastAsia"/>
          <w:kern w:val="0"/>
          <w:szCs w:val="24"/>
        </w:rPr>
      </w:pPr>
      <w:r w:rsidRPr="00B442E9">
        <w:rPr>
          <w:rFonts w:asciiTheme="minorEastAsia" w:eastAsiaTheme="minorEastAsia" w:hAnsiTheme="minorEastAsia" w:hint="eastAsia"/>
          <w:szCs w:val="24"/>
        </w:rPr>
        <w:t xml:space="preserve">イ　</w:t>
      </w:r>
      <w:r w:rsidRPr="00B442E9">
        <w:rPr>
          <w:rFonts w:asciiTheme="minorEastAsia" w:eastAsiaTheme="minorEastAsia" w:hAnsiTheme="minorEastAsia" w:hint="eastAsia"/>
          <w:kern w:val="0"/>
          <w:szCs w:val="24"/>
        </w:rPr>
        <w:t>営業外費用</w:t>
      </w:r>
    </w:p>
    <w:p w:rsidR="00E51B98" w:rsidRPr="00B442E9" w:rsidRDefault="00E51B98" w:rsidP="00E51B98">
      <w:pPr>
        <w:spacing w:line="360" w:lineRule="exact"/>
        <w:ind w:leftChars="323" w:left="708" w:firstLineChars="65" w:firstLine="142"/>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営業外費用は281,181千円で、前年度に比べ7,860千円(△2.7％)減少している。</w:t>
      </w:r>
    </w:p>
    <w:p w:rsidR="00E51B98" w:rsidRPr="00B442E9" w:rsidRDefault="00E51B98" w:rsidP="00E51B98">
      <w:pPr>
        <w:spacing w:line="360" w:lineRule="exact"/>
        <w:ind w:leftChars="245" w:left="537" w:firstLineChars="143" w:firstLine="313"/>
        <w:jc w:val="left"/>
        <w:rPr>
          <w:rFonts w:asciiTheme="minorEastAsia" w:eastAsiaTheme="minorEastAsia" w:hAnsiTheme="minorEastAsia"/>
          <w:kern w:val="0"/>
          <w:szCs w:val="24"/>
        </w:rPr>
      </w:pPr>
      <w:r w:rsidRPr="00B442E9">
        <w:rPr>
          <w:rFonts w:asciiTheme="minorEastAsia" w:eastAsiaTheme="minorEastAsia" w:hAnsiTheme="minorEastAsia" w:hint="eastAsia"/>
          <w:kern w:val="0"/>
          <w:szCs w:val="24"/>
        </w:rPr>
        <w:t>これは主に、支払利息が8,764千円(△4.7％)減少したことによるものである。</w:t>
      </w:r>
    </w:p>
    <w:p w:rsidR="00E51B98" w:rsidRPr="00151886" w:rsidRDefault="00E51B98" w:rsidP="00E51B98">
      <w:pPr>
        <w:spacing w:line="360" w:lineRule="exact"/>
        <w:ind w:left="2"/>
        <w:jc w:val="left"/>
        <w:rPr>
          <w:rFonts w:hAnsi="ＭＳ 明朝"/>
          <w:kern w:val="0"/>
          <w:szCs w:val="24"/>
        </w:rPr>
      </w:pPr>
    </w:p>
    <w:p w:rsidR="00E51B98" w:rsidRPr="00151886" w:rsidRDefault="00E51B98" w:rsidP="00E51B98">
      <w:pPr>
        <w:spacing w:line="360" w:lineRule="exact"/>
        <w:ind w:firstLineChars="200" w:firstLine="438"/>
        <w:jc w:val="left"/>
        <w:rPr>
          <w:rFonts w:hAnsi="ＭＳ 明朝"/>
          <w:szCs w:val="24"/>
        </w:rPr>
      </w:pPr>
      <w:r>
        <w:rPr>
          <w:rFonts w:hAnsi="ＭＳ 明朝" w:hint="eastAsia"/>
          <w:szCs w:val="24"/>
        </w:rPr>
        <w:t>ウ　特別損</w:t>
      </w:r>
      <w:r w:rsidRPr="00151886">
        <w:rPr>
          <w:rFonts w:hAnsi="ＭＳ 明朝" w:hint="eastAsia"/>
          <w:szCs w:val="24"/>
        </w:rPr>
        <w:t>失</w:t>
      </w:r>
    </w:p>
    <w:p w:rsidR="00E51B98" w:rsidRPr="006307D2" w:rsidRDefault="00E51B98" w:rsidP="00E51B98">
      <w:pPr>
        <w:spacing w:line="360" w:lineRule="exact"/>
        <w:ind w:leftChars="323" w:left="708" w:firstLineChars="65" w:firstLine="171"/>
        <w:jc w:val="left"/>
        <w:rPr>
          <w:rFonts w:hAnsi="ＭＳ 明朝"/>
          <w:spacing w:val="22"/>
          <w:szCs w:val="24"/>
        </w:rPr>
      </w:pPr>
      <w:r w:rsidRPr="006307D2">
        <w:rPr>
          <w:rFonts w:hAnsi="ＭＳ 明朝" w:hint="eastAsia"/>
          <w:spacing w:val="22"/>
          <w:kern w:val="0"/>
          <w:szCs w:val="24"/>
        </w:rPr>
        <w:t>特別損失は4,008千円で、前年度に比べ699千円</w:t>
      </w:r>
      <w:r>
        <w:rPr>
          <w:rFonts w:hAnsi="ＭＳ 明朝" w:hint="eastAsia"/>
          <w:spacing w:val="22"/>
          <w:kern w:val="0"/>
          <w:szCs w:val="24"/>
        </w:rPr>
        <w:t>(</w:t>
      </w:r>
      <w:r w:rsidRPr="006307D2">
        <w:rPr>
          <w:rFonts w:hAnsi="ＭＳ 明朝" w:hint="eastAsia"/>
          <w:spacing w:val="22"/>
          <w:kern w:val="0"/>
          <w:szCs w:val="24"/>
        </w:rPr>
        <w:t>△14.9％</w:t>
      </w:r>
      <w:r>
        <w:rPr>
          <w:rFonts w:hAnsi="ＭＳ 明朝" w:hint="eastAsia"/>
          <w:spacing w:val="22"/>
          <w:kern w:val="0"/>
          <w:szCs w:val="24"/>
        </w:rPr>
        <w:t>)</w:t>
      </w:r>
      <w:r w:rsidRPr="006307D2">
        <w:rPr>
          <w:rFonts w:hAnsi="ＭＳ 明朝" w:hint="eastAsia"/>
          <w:spacing w:val="22"/>
          <w:kern w:val="0"/>
          <w:szCs w:val="24"/>
        </w:rPr>
        <w:t>減少している。</w:t>
      </w:r>
    </w:p>
    <w:p w:rsidR="00E51B98" w:rsidRPr="006307D2" w:rsidRDefault="00E51B98" w:rsidP="00E51B98">
      <w:pPr>
        <w:tabs>
          <w:tab w:val="left" w:pos="709"/>
        </w:tabs>
        <w:spacing w:line="360" w:lineRule="exact"/>
        <w:ind w:leftChars="300" w:left="657" w:firstLineChars="88" w:firstLine="235"/>
        <w:jc w:val="left"/>
        <w:rPr>
          <w:rFonts w:hAnsi="ＭＳ 明朝"/>
          <w:spacing w:val="24"/>
          <w:szCs w:val="24"/>
        </w:rPr>
      </w:pPr>
      <w:r w:rsidRPr="006307D2">
        <w:rPr>
          <w:rFonts w:hAnsi="ＭＳ 明朝" w:hint="eastAsia"/>
          <w:spacing w:val="24"/>
          <w:szCs w:val="24"/>
        </w:rPr>
        <w:t>これは</w:t>
      </w:r>
      <w:r w:rsidRPr="006307D2">
        <w:rPr>
          <w:rFonts w:hAnsi="ＭＳ 明朝" w:hint="eastAsia"/>
          <w:spacing w:val="24"/>
          <w:kern w:val="0"/>
          <w:szCs w:val="24"/>
        </w:rPr>
        <w:t>主に、</w:t>
      </w:r>
      <w:r w:rsidRPr="006307D2">
        <w:rPr>
          <w:rFonts w:hAnsi="ＭＳ 明朝" w:hint="eastAsia"/>
          <w:spacing w:val="24"/>
          <w:szCs w:val="24"/>
        </w:rPr>
        <w:t>過年度損益修正損で、</w:t>
      </w:r>
      <w:r w:rsidRPr="006307D2">
        <w:rPr>
          <w:rFonts w:hAnsi="ＭＳ 明朝" w:hint="eastAsia"/>
          <w:spacing w:val="24"/>
          <w:kern w:val="0"/>
          <w:szCs w:val="24"/>
        </w:rPr>
        <w:t>平成20年度分</w:t>
      </w:r>
      <w:r w:rsidRPr="006307D2">
        <w:rPr>
          <w:rFonts w:hAnsi="ＭＳ 明朝" w:hint="eastAsia"/>
          <w:spacing w:val="24"/>
          <w:szCs w:val="24"/>
        </w:rPr>
        <w:t>の不納欠損処理957</w:t>
      </w:r>
      <w:r>
        <w:rPr>
          <w:rFonts w:hAnsi="ＭＳ 明朝" w:hint="eastAsia"/>
          <w:spacing w:val="24"/>
          <w:szCs w:val="24"/>
        </w:rPr>
        <w:t>件(</w:t>
      </w:r>
      <w:r w:rsidRPr="006307D2">
        <w:rPr>
          <w:rFonts w:hAnsi="ＭＳ 明朝" w:hint="eastAsia"/>
          <w:spacing w:val="24"/>
          <w:szCs w:val="24"/>
        </w:rPr>
        <w:t>500人</w:t>
      </w:r>
      <w:r>
        <w:rPr>
          <w:rFonts w:hAnsi="ＭＳ 明朝" w:hint="eastAsia"/>
          <w:spacing w:val="24"/>
          <w:szCs w:val="24"/>
        </w:rPr>
        <w:t>)</w:t>
      </w:r>
      <w:r w:rsidRPr="006307D2">
        <w:rPr>
          <w:rFonts w:hAnsi="ＭＳ 明朝" w:hint="eastAsia"/>
          <w:spacing w:val="24"/>
          <w:kern w:val="0"/>
          <w:szCs w:val="24"/>
        </w:rPr>
        <w:t>と平成21年度～平成23年度分免責決定21件</w:t>
      </w:r>
      <w:r>
        <w:rPr>
          <w:rFonts w:hAnsi="ＭＳ 明朝" w:hint="eastAsia"/>
          <w:spacing w:val="24"/>
          <w:kern w:val="0"/>
          <w:szCs w:val="24"/>
        </w:rPr>
        <w:t>(</w:t>
      </w:r>
      <w:r w:rsidRPr="006307D2">
        <w:rPr>
          <w:rFonts w:hAnsi="ＭＳ 明朝" w:hint="eastAsia"/>
          <w:spacing w:val="24"/>
          <w:kern w:val="0"/>
          <w:szCs w:val="24"/>
        </w:rPr>
        <w:t>16人</w:t>
      </w:r>
      <w:r>
        <w:rPr>
          <w:rFonts w:hAnsi="ＭＳ 明朝" w:hint="eastAsia"/>
          <w:spacing w:val="24"/>
          <w:kern w:val="0"/>
          <w:szCs w:val="24"/>
        </w:rPr>
        <w:t>)に係るもの</w:t>
      </w:r>
      <w:r w:rsidRPr="006307D2">
        <w:rPr>
          <w:rFonts w:hAnsi="ＭＳ 明朝" w:hint="eastAsia"/>
          <w:spacing w:val="24"/>
          <w:kern w:val="0"/>
          <w:szCs w:val="24"/>
        </w:rPr>
        <w:t>である。その処分理由は行方不明</w:t>
      </w:r>
      <w:r w:rsidRPr="006307D2">
        <w:rPr>
          <w:rFonts w:hAnsi="ＭＳ 明朝" w:hint="eastAsia"/>
          <w:spacing w:val="24"/>
          <w:szCs w:val="24"/>
        </w:rPr>
        <w:t>や自己破産など、やむを得ないものと認められる。</w:t>
      </w:r>
    </w:p>
    <w:p w:rsidR="00E51B98" w:rsidRPr="00151886" w:rsidRDefault="00E51B98" w:rsidP="00E51B98">
      <w:pPr>
        <w:kinsoku w:val="0"/>
        <w:overflowPunct w:val="0"/>
        <w:snapToGrid w:val="0"/>
        <w:spacing w:line="360"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Default="00E51B98" w:rsidP="00E51B98">
      <w:pPr>
        <w:kinsoku w:val="0"/>
        <w:overflowPunct w:val="0"/>
        <w:snapToGrid w:val="0"/>
        <w:spacing w:line="362" w:lineRule="exact"/>
        <w:ind w:firstLineChars="100" w:firstLine="219"/>
        <w:jc w:val="left"/>
        <w:rPr>
          <w:rFonts w:ascii="ＭＳ ゴシック" w:eastAsia="ＭＳ ゴシック" w:hAnsi="ＭＳ ゴシック"/>
          <w:szCs w:val="24"/>
        </w:rPr>
      </w:pPr>
      <w:r w:rsidRPr="00151886">
        <w:rPr>
          <w:rFonts w:ascii="ＭＳ ゴシック" w:eastAsia="ＭＳ ゴシック" w:hAnsi="ＭＳ ゴシック" w:hint="eastAsia"/>
          <w:szCs w:val="24"/>
        </w:rPr>
        <w:t>取水量の推移</w:t>
      </w:r>
      <w:r>
        <w:rPr>
          <w:rFonts w:ascii="ＭＳ ゴシック" w:eastAsia="ＭＳ ゴシック" w:hAnsi="ＭＳ ゴシック" w:hint="eastAsia"/>
          <w:szCs w:val="24"/>
        </w:rPr>
        <w:t xml:space="preserve">　　　　　　　　　　　　　　　　　　　　　　　　　　　　</w:t>
      </w:r>
      <w:r w:rsidRPr="002839FB">
        <w:rPr>
          <w:rFonts w:asciiTheme="minorEastAsia" w:eastAsiaTheme="minorEastAsia" w:hAnsiTheme="minorEastAsia" w:hint="eastAsia"/>
          <w:szCs w:val="24"/>
        </w:rPr>
        <w:t>（単位：㎥・％）</w:t>
      </w:r>
    </w:p>
    <w:bookmarkStart w:id="9" w:name="_MON_1436178794"/>
    <w:bookmarkEnd w:id="9"/>
    <w:p w:rsidR="00E51B98" w:rsidRDefault="00E51B98" w:rsidP="00E51B98">
      <w:pPr>
        <w:kinsoku w:val="0"/>
        <w:overflowPunct w:val="0"/>
        <w:snapToGrid w:val="0"/>
        <w:jc w:val="left"/>
        <w:rPr>
          <w:rFonts w:hAnsi="ＭＳ 明朝"/>
          <w:sz w:val="22"/>
        </w:rPr>
      </w:pPr>
      <w:r w:rsidRPr="00534ACC">
        <w:rPr>
          <w:rFonts w:hAnsi="ＭＳ 明朝"/>
          <w:sz w:val="22"/>
        </w:rPr>
        <w:object w:dxaOrig="8906" w:dyaOrig="2604">
          <v:shape id="_x0000_i1034" type="#_x0000_t75" style="width:478.5pt;height:139.5pt" o:ole="">
            <v:imagedata r:id="rId29" o:title=""/>
          </v:shape>
          <o:OLEObject Type="Embed" ProgID="Excel.Sheet.12" ShapeID="_x0000_i1034" DrawAspect="Content" ObjectID="_1470640281" r:id="rId30"/>
        </w:object>
      </w:r>
    </w:p>
    <w:p w:rsidR="00E51B98" w:rsidRDefault="00E51B98" w:rsidP="00E51B98">
      <w:pPr>
        <w:spacing w:line="360" w:lineRule="exact"/>
        <w:ind w:leftChars="100" w:left="219" w:firstLineChars="100" w:firstLine="219"/>
        <w:rPr>
          <w:rFonts w:hAnsi="ＭＳ 明朝"/>
          <w:szCs w:val="24"/>
        </w:rPr>
      </w:pPr>
    </w:p>
    <w:p w:rsidR="00E51B98" w:rsidRPr="00FB2488" w:rsidRDefault="00E51B98" w:rsidP="00E51B98">
      <w:pPr>
        <w:spacing w:line="360" w:lineRule="exact"/>
        <w:ind w:firstLineChars="200" w:firstLine="502"/>
        <w:jc w:val="left"/>
        <w:rPr>
          <w:rFonts w:hAnsi="ＭＳ 明朝"/>
          <w:spacing w:val="16"/>
          <w:szCs w:val="24"/>
        </w:rPr>
      </w:pPr>
      <w:r w:rsidRPr="00FB2488">
        <w:rPr>
          <w:rFonts w:hAnsi="ＭＳ 明朝" w:hint="eastAsia"/>
          <w:spacing w:val="16"/>
          <w:szCs w:val="24"/>
        </w:rPr>
        <w:t>取水量は16,063,270㎥で、前年度に比べ336,750㎥(△2.1％)減少している。</w:t>
      </w:r>
    </w:p>
    <w:p w:rsidR="00E51B98" w:rsidRDefault="00E51B98" w:rsidP="00E51B98">
      <w:pPr>
        <w:spacing w:line="360" w:lineRule="exact"/>
        <w:ind w:leftChars="100" w:left="219" w:firstLineChars="100" w:firstLine="251"/>
        <w:jc w:val="left"/>
        <w:rPr>
          <w:rFonts w:hAnsi="ＭＳ 明朝"/>
          <w:spacing w:val="16"/>
          <w:szCs w:val="24"/>
        </w:rPr>
      </w:pPr>
      <w:r w:rsidRPr="00FB2488">
        <w:rPr>
          <w:rFonts w:hAnsi="ＭＳ 明朝" w:hint="eastAsia"/>
          <w:spacing w:val="16"/>
          <w:szCs w:val="24"/>
        </w:rPr>
        <w:t>このうち、和田川及び子撫川水源からの浄水受水量は15,820,330㎥で、前年度に比べ330,260㎥(△2.0％)減少している。</w:t>
      </w:r>
    </w:p>
    <w:p w:rsidR="00E51B98" w:rsidRPr="009D6AAD" w:rsidRDefault="00E51B98" w:rsidP="00E51B98">
      <w:pPr>
        <w:spacing w:line="360" w:lineRule="exact"/>
        <w:ind w:leftChars="100" w:left="219" w:firstLineChars="100" w:firstLine="219"/>
        <w:jc w:val="distribute"/>
        <w:rPr>
          <w:rFonts w:hAnsi="ＭＳ 明朝"/>
          <w:spacing w:val="16"/>
          <w:szCs w:val="24"/>
        </w:rPr>
      </w:pPr>
      <w:r w:rsidRPr="00FB2488">
        <w:rPr>
          <w:rFonts w:hAnsi="ＭＳ 明朝" w:hint="eastAsia"/>
          <w:szCs w:val="24"/>
        </w:rPr>
        <w:t>一方、</w:t>
      </w:r>
      <w:r w:rsidRPr="00FB2488">
        <w:rPr>
          <w:rFonts w:hAnsi="ＭＳ 明朝" w:hint="eastAsia"/>
          <w:kern w:val="0"/>
          <w:szCs w:val="24"/>
        </w:rPr>
        <w:t>佐野地内の自己水源である地下水の取水量は242,940㎥で、前年度に</w:t>
      </w:r>
      <w:r w:rsidRPr="00FB2488">
        <w:rPr>
          <w:rFonts w:hAnsi="ＭＳ 明朝" w:hint="eastAsia"/>
          <w:szCs w:val="24"/>
        </w:rPr>
        <w:t>比べ6,490㎥</w:t>
      </w:r>
      <w:r>
        <w:rPr>
          <w:rFonts w:hAnsi="ＭＳ 明朝" w:hint="eastAsia"/>
          <w:szCs w:val="24"/>
        </w:rPr>
        <w:t xml:space="preserve">　　</w:t>
      </w:r>
    </w:p>
    <w:p w:rsidR="00E51B98" w:rsidRPr="00FB2488" w:rsidRDefault="00E51B98" w:rsidP="00E51B98">
      <w:pPr>
        <w:spacing w:line="360" w:lineRule="exact"/>
        <w:ind w:firstLineChars="100" w:firstLine="219"/>
        <w:jc w:val="left"/>
        <w:rPr>
          <w:rFonts w:hAnsi="ＭＳ 明朝"/>
          <w:szCs w:val="24"/>
        </w:rPr>
      </w:pPr>
      <w:r>
        <w:rPr>
          <w:rFonts w:hAnsi="ＭＳ 明朝" w:hint="eastAsia"/>
          <w:szCs w:val="24"/>
        </w:rPr>
        <w:t>(</w:t>
      </w:r>
      <w:r w:rsidRPr="00FB2488">
        <w:rPr>
          <w:rFonts w:hAnsi="ＭＳ 明朝" w:hint="eastAsia"/>
          <w:szCs w:val="24"/>
        </w:rPr>
        <w:t>△2.6％</w:t>
      </w:r>
      <w:r>
        <w:rPr>
          <w:rFonts w:hAnsi="ＭＳ 明朝" w:hint="eastAsia"/>
          <w:szCs w:val="24"/>
        </w:rPr>
        <w:t>)</w:t>
      </w:r>
      <w:r w:rsidRPr="00FB2488">
        <w:rPr>
          <w:rFonts w:hAnsi="ＭＳ 明朝" w:hint="eastAsia"/>
          <w:szCs w:val="24"/>
        </w:rPr>
        <w:t>減少している。</w:t>
      </w:r>
    </w:p>
    <w:p w:rsidR="00E51B98" w:rsidRPr="00FB2488" w:rsidRDefault="00E51B98" w:rsidP="00E51B98">
      <w:pPr>
        <w:kinsoku w:val="0"/>
        <w:overflowPunct w:val="0"/>
        <w:snapToGrid w:val="0"/>
        <w:spacing w:line="360" w:lineRule="exact"/>
        <w:jc w:val="left"/>
        <w:rPr>
          <w:rFonts w:hAnsi="ＭＳ 明朝"/>
          <w:szCs w:val="24"/>
        </w:rPr>
      </w:pPr>
    </w:p>
    <w:p w:rsidR="00E51B98" w:rsidRPr="00FB2488"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E51B98">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Pr="00151886">
        <w:rPr>
          <w:rFonts w:ascii="ＭＳ ゴシック" w:eastAsia="ＭＳ ゴシック" w:hAnsi="ＭＳ ゴシック" w:hint="eastAsia"/>
          <w:szCs w:val="24"/>
        </w:rPr>
        <w:t xml:space="preserve">　供給単価と給水原価</w:t>
      </w:r>
    </w:p>
    <w:p w:rsidR="00E51B98" w:rsidRPr="00151886" w:rsidRDefault="00E51B98" w:rsidP="00E51B98">
      <w:pPr>
        <w:spacing w:line="360" w:lineRule="exact"/>
        <w:ind w:firstLineChars="300" w:firstLine="657"/>
        <w:rPr>
          <w:szCs w:val="24"/>
        </w:rPr>
      </w:pPr>
      <w:r w:rsidRPr="00151886">
        <w:rPr>
          <w:rFonts w:hint="eastAsia"/>
          <w:szCs w:val="24"/>
        </w:rPr>
        <w:t>供給単価と給水原価の比較は、下表のとおりである。</w:t>
      </w:r>
    </w:p>
    <w:p w:rsidR="00E51B98" w:rsidRDefault="00E51B98" w:rsidP="00E51B98">
      <w:pPr>
        <w:ind w:firstLineChars="100" w:firstLine="219"/>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sidRPr="00151886">
        <w:rPr>
          <w:rFonts w:hAnsi="ＭＳ 明朝" w:hint="eastAsia"/>
          <w:szCs w:val="24"/>
        </w:rPr>
        <w:t>（単位：円）</w:t>
      </w:r>
    </w:p>
    <w:bookmarkStart w:id="10" w:name="_MON_1436179968"/>
    <w:bookmarkEnd w:id="10"/>
    <w:p w:rsidR="00E51B98" w:rsidRDefault="00E51B98" w:rsidP="00E51B98">
      <w:pPr>
        <w:spacing w:line="240" w:lineRule="atLeast"/>
        <w:ind w:left="1" w:right="-2"/>
        <w:jc w:val="left"/>
        <w:rPr>
          <w:rFonts w:hAnsi="ＭＳ 明朝"/>
          <w:kern w:val="0"/>
          <w:sz w:val="18"/>
          <w:szCs w:val="18"/>
        </w:rPr>
      </w:pPr>
      <w:r w:rsidRPr="00534ACC">
        <w:rPr>
          <w:rFonts w:hAnsi="ＭＳ 明朝"/>
          <w:kern w:val="0"/>
          <w:sz w:val="22"/>
        </w:rPr>
        <w:object w:dxaOrig="9124" w:dyaOrig="3042">
          <v:shape id="_x0000_i1035" type="#_x0000_t75" style="width:468.75pt;height:156.75pt" o:ole="">
            <v:imagedata r:id="rId31" o:title=""/>
          </v:shape>
          <o:OLEObject Type="Embed" ProgID="Excel.Sheet.12" ShapeID="_x0000_i1035" DrawAspect="Content" ObjectID="_1470640282" r:id="rId32"/>
        </w:object>
      </w:r>
      <w:r>
        <w:rPr>
          <w:rFonts w:hAnsi="ＭＳ 明朝" w:hint="eastAsia"/>
          <w:kern w:val="0"/>
          <w:sz w:val="22"/>
        </w:rPr>
        <w:t xml:space="preserve">　</w:t>
      </w:r>
      <w:r w:rsidRPr="00A62F4E">
        <w:rPr>
          <w:rFonts w:hAnsi="ＭＳ 明朝" w:hint="eastAsia"/>
          <w:kern w:val="0"/>
          <w:sz w:val="18"/>
          <w:szCs w:val="18"/>
        </w:rPr>
        <w:t>(注)　全国平均は、</w:t>
      </w:r>
      <w:r>
        <w:rPr>
          <w:rFonts w:hAnsi="ＭＳ 明朝" w:hint="eastAsia"/>
          <w:kern w:val="0"/>
          <w:sz w:val="18"/>
          <w:szCs w:val="18"/>
        </w:rPr>
        <w:t>（財）</w:t>
      </w:r>
      <w:r w:rsidRPr="00A62F4E">
        <w:rPr>
          <w:rFonts w:hAnsi="ＭＳ 明朝" w:hint="eastAsia"/>
          <w:kern w:val="0"/>
          <w:sz w:val="18"/>
          <w:szCs w:val="18"/>
        </w:rPr>
        <w:t>地方財務協会刊行「平成</w:t>
      </w:r>
      <w:r>
        <w:rPr>
          <w:rFonts w:hAnsi="ＭＳ 明朝" w:hint="eastAsia"/>
          <w:kern w:val="0"/>
          <w:sz w:val="18"/>
          <w:szCs w:val="18"/>
        </w:rPr>
        <w:t>24</w:t>
      </w:r>
      <w:r w:rsidRPr="00A62F4E">
        <w:rPr>
          <w:rFonts w:hAnsi="ＭＳ 明朝" w:hint="eastAsia"/>
          <w:kern w:val="0"/>
          <w:sz w:val="18"/>
          <w:szCs w:val="18"/>
        </w:rPr>
        <w:t>年度地方公営企業年鑑」の</w:t>
      </w:r>
      <w:r w:rsidRPr="0098564C">
        <w:rPr>
          <w:rFonts w:hAnsi="ＭＳ 明朝" w:hint="eastAsia"/>
          <w:kern w:val="0"/>
          <w:sz w:val="18"/>
          <w:szCs w:val="18"/>
        </w:rPr>
        <w:t>給水人口15万人以上30万人未満</w:t>
      </w:r>
      <w:r w:rsidRPr="00A62F4E">
        <w:rPr>
          <w:rFonts w:hAnsi="ＭＳ 明朝" w:hint="eastAsia"/>
          <w:kern w:val="0"/>
          <w:sz w:val="18"/>
          <w:szCs w:val="18"/>
        </w:rPr>
        <w:t>の事業の数値</w:t>
      </w:r>
    </w:p>
    <w:p w:rsidR="00E51B98" w:rsidRPr="00A62F4E" w:rsidRDefault="00E51B98" w:rsidP="00E51B98">
      <w:pPr>
        <w:spacing w:line="240" w:lineRule="atLeast"/>
        <w:ind w:left="1" w:right="-2" w:firstLineChars="200" w:firstLine="318"/>
        <w:jc w:val="left"/>
        <w:rPr>
          <w:rFonts w:hAnsi="ＭＳ 明朝"/>
          <w:kern w:val="0"/>
          <w:sz w:val="18"/>
          <w:szCs w:val="18"/>
        </w:rPr>
      </w:pPr>
      <w:r w:rsidRPr="00A62F4E">
        <w:rPr>
          <w:rFonts w:hAnsi="ＭＳ 明朝" w:hint="eastAsia"/>
          <w:kern w:val="0"/>
          <w:sz w:val="18"/>
          <w:szCs w:val="18"/>
        </w:rPr>
        <w:t>である。</w:t>
      </w:r>
    </w:p>
    <w:p w:rsidR="00E51B98" w:rsidRPr="00151886" w:rsidRDefault="00E51B98" w:rsidP="00E51B98">
      <w:pPr>
        <w:spacing w:line="240" w:lineRule="atLeast"/>
        <w:ind w:rightChars="-121" w:right="-265"/>
        <w:jc w:val="left"/>
        <w:rPr>
          <w:rFonts w:hAnsi="ＭＳ 明朝"/>
          <w:kern w:val="0"/>
          <w:szCs w:val="24"/>
        </w:rPr>
      </w:pPr>
    </w:p>
    <w:p w:rsidR="00E51B98" w:rsidRDefault="00E51B98" w:rsidP="00E51B98">
      <w:pPr>
        <w:tabs>
          <w:tab w:val="left" w:pos="426"/>
        </w:tabs>
        <w:spacing w:line="360" w:lineRule="exact"/>
        <w:ind w:leftChars="100" w:left="219" w:firstLineChars="100" w:firstLine="219"/>
        <w:jc w:val="left"/>
        <w:rPr>
          <w:rFonts w:hAnsi="ＭＳ 明朝"/>
          <w:kern w:val="0"/>
          <w:szCs w:val="24"/>
        </w:rPr>
      </w:pPr>
      <w:r w:rsidRPr="00151886">
        <w:rPr>
          <w:rFonts w:hAnsi="ＭＳ 明朝" w:hint="eastAsia"/>
          <w:kern w:val="0"/>
          <w:szCs w:val="24"/>
        </w:rPr>
        <w:t>有収水量１㎥当たりの供給単価は</w:t>
      </w:r>
      <w:r>
        <w:rPr>
          <w:rFonts w:hAnsi="ＭＳ 明朝" w:hint="eastAsia"/>
          <w:kern w:val="0"/>
          <w:szCs w:val="24"/>
        </w:rPr>
        <w:t>190</w:t>
      </w:r>
      <w:r w:rsidRPr="00151886">
        <w:rPr>
          <w:rFonts w:hAnsi="ＭＳ 明朝" w:hint="eastAsia"/>
          <w:kern w:val="0"/>
          <w:szCs w:val="24"/>
        </w:rPr>
        <w:t>円</w:t>
      </w:r>
      <w:r>
        <w:rPr>
          <w:rFonts w:hAnsi="ＭＳ 明朝" w:hint="eastAsia"/>
          <w:kern w:val="0"/>
          <w:szCs w:val="24"/>
        </w:rPr>
        <w:t>89</w:t>
      </w:r>
      <w:r w:rsidRPr="00151886">
        <w:rPr>
          <w:rFonts w:hAnsi="ＭＳ 明朝" w:hint="eastAsia"/>
          <w:kern w:val="0"/>
          <w:szCs w:val="24"/>
        </w:rPr>
        <w:t>銭で、前年度に比べ</w:t>
      </w:r>
      <w:r>
        <w:rPr>
          <w:rFonts w:hAnsi="ＭＳ 明朝" w:hint="eastAsia"/>
          <w:kern w:val="0"/>
          <w:szCs w:val="24"/>
        </w:rPr>
        <w:t>40</w:t>
      </w:r>
      <w:r w:rsidRPr="00151886">
        <w:rPr>
          <w:rFonts w:hAnsi="ＭＳ 明朝" w:hint="eastAsia"/>
          <w:kern w:val="0"/>
          <w:szCs w:val="24"/>
        </w:rPr>
        <w:t>銭の減少、</w:t>
      </w:r>
      <w:r w:rsidRPr="00151886">
        <w:rPr>
          <w:rFonts w:hAnsi="ＭＳ 明朝" w:hint="eastAsia"/>
          <w:szCs w:val="24"/>
        </w:rPr>
        <w:t>給水</w:t>
      </w:r>
      <w:r w:rsidRPr="00151886">
        <w:rPr>
          <w:rFonts w:hAnsi="ＭＳ 明朝" w:hint="eastAsia"/>
          <w:kern w:val="0"/>
          <w:szCs w:val="24"/>
        </w:rPr>
        <w:t>原価は</w:t>
      </w:r>
      <w:r>
        <w:rPr>
          <w:rFonts w:hAnsi="ＭＳ 明朝" w:hint="eastAsia"/>
          <w:kern w:val="0"/>
          <w:szCs w:val="24"/>
        </w:rPr>
        <w:t xml:space="preserve"> </w:t>
      </w:r>
    </w:p>
    <w:p w:rsidR="00E51B98" w:rsidRPr="00151886" w:rsidRDefault="00E51B98" w:rsidP="00E51B98">
      <w:pPr>
        <w:spacing w:line="360" w:lineRule="exact"/>
        <w:ind w:firstLineChars="100" w:firstLine="219"/>
        <w:jc w:val="left"/>
        <w:rPr>
          <w:rFonts w:ascii="ＭＳ Ｐ明朝" w:eastAsia="ＭＳ Ｐ明朝" w:hAnsi="ＭＳ Ｐ明朝"/>
          <w:szCs w:val="24"/>
        </w:rPr>
      </w:pPr>
      <w:r>
        <w:rPr>
          <w:rFonts w:hAnsi="ＭＳ 明朝" w:hint="eastAsia"/>
          <w:kern w:val="0"/>
          <w:szCs w:val="24"/>
        </w:rPr>
        <w:t>197</w:t>
      </w:r>
      <w:r w:rsidRPr="00151886">
        <w:rPr>
          <w:rFonts w:hAnsi="ＭＳ 明朝" w:hint="eastAsia"/>
          <w:kern w:val="0"/>
          <w:szCs w:val="24"/>
        </w:rPr>
        <w:t>円</w:t>
      </w:r>
      <w:r>
        <w:rPr>
          <w:rFonts w:hAnsi="ＭＳ 明朝" w:hint="eastAsia"/>
          <w:kern w:val="0"/>
          <w:szCs w:val="24"/>
        </w:rPr>
        <w:t>2</w:t>
      </w:r>
      <w:r w:rsidRPr="00151886">
        <w:rPr>
          <w:rFonts w:hAnsi="ＭＳ 明朝" w:hint="eastAsia"/>
          <w:kern w:val="0"/>
          <w:szCs w:val="24"/>
        </w:rPr>
        <w:t>銭で、前年度に比べ</w:t>
      </w:r>
      <w:r>
        <w:rPr>
          <w:rFonts w:hAnsi="ＭＳ 明朝" w:hint="eastAsia"/>
          <w:kern w:val="0"/>
          <w:szCs w:val="24"/>
        </w:rPr>
        <w:t>80</w:t>
      </w:r>
      <w:r w:rsidRPr="00151886">
        <w:rPr>
          <w:rFonts w:hAnsi="ＭＳ 明朝" w:hint="eastAsia"/>
          <w:kern w:val="0"/>
          <w:szCs w:val="24"/>
        </w:rPr>
        <w:t>銭の</w:t>
      </w:r>
      <w:r>
        <w:rPr>
          <w:rFonts w:hAnsi="ＭＳ 明朝" w:hint="eastAsia"/>
          <w:kern w:val="0"/>
          <w:szCs w:val="24"/>
        </w:rPr>
        <w:t>増加</w:t>
      </w:r>
      <w:r w:rsidRPr="00151886">
        <w:rPr>
          <w:rFonts w:hAnsi="ＭＳ 明朝" w:hint="eastAsia"/>
          <w:kern w:val="0"/>
          <w:szCs w:val="24"/>
        </w:rPr>
        <w:t>となり、1㎥当たり</w:t>
      </w:r>
      <w:r>
        <w:rPr>
          <w:rFonts w:hAnsi="ＭＳ 明朝" w:hint="eastAsia"/>
          <w:kern w:val="0"/>
          <w:szCs w:val="24"/>
        </w:rPr>
        <w:t>6円13</w:t>
      </w:r>
      <w:r w:rsidRPr="00151886">
        <w:rPr>
          <w:rFonts w:hAnsi="ＭＳ 明朝" w:hint="eastAsia"/>
          <w:kern w:val="0"/>
          <w:szCs w:val="24"/>
        </w:rPr>
        <w:t>銭の損失が生じている。</w:t>
      </w: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Pr="00151886"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Default="00E51B98" w:rsidP="007F033E">
      <w:pPr>
        <w:kinsoku w:val="0"/>
        <w:overflowPunct w:val="0"/>
        <w:snapToGrid w:val="0"/>
        <w:spacing w:line="362" w:lineRule="exact"/>
        <w:jc w:val="left"/>
        <w:rPr>
          <w:rFonts w:hAnsi="ＭＳ 明朝"/>
          <w:szCs w:val="24"/>
        </w:rPr>
      </w:pPr>
    </w:p>
    <w:p w:rsidR="00E51B98" w:rsidRDefault="00E51B98" w:rsidP="00E51B98">
      <w:pPr>
        <w:rPr>
          <w:rFonts w:ascii="ＭＳ ゴシック" w:eastAsia="ＭＳ ゴシック" w:hAnsi="ＭＳ ゴシック"/>
          <w:szCs w:val="24"/>
        </w:rPr>
      </w:pPr>
    </w:p>
    <w:p w:rsidR="004F288A" w:rsidRPr="00DD1A5E" w:rsidRDefault="004F288A" w:rsidP="004C3DD0">
      <w:pPr>
        <w:jc w:val="left"/>
        <w:rPr>
          <w:sz w:val="22"/>
        </w:rPr>
      </w:pPr>
    </w:p>
    <w:p w:rsidR="00E51B98" w:rsidRPr="00484416" w:rsidRDefault="00E51B98" w:rsidP="00E51B98">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E51B98" w:rsidRPr="00484416" w:rsidRDefault="00E51B98" w:rsidP="00E51B98">
      <w:pPr>
        <w:spacing w:line="360" w:lineRule="exact"/>
        <w:ind w:firstLineChars="200" w:firstLine="438"/>
        <w:rPr>
          <w:szCs w:val="24"/>
        </w:rPr>
      </w:pPr>
      <w:r w:rsidRPr="00484416">
        <w:rPr>
          <w:rFonts w:hint="eastAsia"/>
          <w:szCs w:val="24"/>
        </w:rPr>
        <w:t>資産、負債及び資本の内訳は、下表のとおりである。</w:t>
      </w:r>
    </w:p>
    <w:p w:rsidR="00E51B98" w:rsidRPr="00484416" w:rsidRDefault="00E51B98" w:rsidP="00E51B98">
      <w:pPr>
        <w:spacing w:line="360" w:lineRule="exact"/>
        <w:ind w:firstLineChars="100" w:firstLine="219"/>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1" w:name="_MON_1436183313"/>
    <w:bookmarkEnd w:id="11"/>
    <w:p w:rsidR="00E51B98" w:rsidRDefault="00E51B98" w:rsidP="00E51B98">
      <w:pPr>
        <w:kinsoku w:val="0"/>
        <w:overflowPunct w:val="0"/>
        <w:snapToGrid w:val="0"/>
        <w:jc w:val="left"/>
        <w:rPr>
          <w:rFonts w:hAnsi="ＭＳ 明朝"/>
          <w:sz w:val="22"/>
        </w:rPr>
      </w:pPr>
      <w:r w:rsidRPr="00094087">
        <w:rPr>
          <w:rFonts w:hAnsi="ＭＳ 明朝"/>
          <w:sz w:val="22"/>
        </w:rPr>
        <w:object w:dxaOrig="9540" w:dyaOrig="4288">
          <v:shape id="_x0000_i1036" type="#_x0000_t75" style="width:480pt;height:201.75pt" o:ole="">
            <v:imagedata r:id="rId33" o:title=""/>
          </v:shape>
          <o:OLEObject Type="Embed" ProgID="Excel.Sheet.12" ShapeID="_x0000_i1036" DrawAspect="Content" ObjectID="_1470640283" r:id="rId34"/>
        </w:object>
      </w:r>
    </w:p>
    <w:p w:rsidR="00E51B98" w:rsidRDefault="00E51B98" w:rsidP="00E51B98">
      <w:pPr>
        <w:kinsoku w:val="0"/>
        <w:overflowPunct w:val="0"/>
        <w:snapToGrid w:val="0"/>
        <w:jc w:val="left"/>
        <w:rPr>
          <w:rFonts w:hAnsi="ＭＳ 明朝"/>
          <w:sz w:val="22"/>
        </w:rPr>
      </w:pPr>
    </w:p>
    <w:p w:rsidR="00E51B98" w:rsidRPr="00484416" w:rsidRDefault="00E51B98" w:rsidP="00E51B98">
      <w:pPr>
        <w:spacing w:line="360" w:lineRule="exact"/>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E51B98" w:rsidRPr="00484416" w:rsidRDefault="00E51B98" w:rsidP="00E51B98">
      <w:pPr>
        <w:spacing w:line="360" w:lineRule="exact"/>
        <w:ind w:firstLineChars="300" w:firstLine="657"/>
        <w:rPr>
          <w:szCs w:val="24"/>
        </w:rPr>
      </w:pPr>
      <w:r w:rsidRPr="00484416">
        <w:rPr>
          <w:rFonts w:hint="eastAsia"/>
          <w:szCs w:val="24"/>
        </w:rPr>
        <w:t>資産の内訳は、下表のとおりである。</w:t>
      </w:r>
    </w:p>
    <w:p w:rsidR="00E51B98" w:rsidRDefault="00E51B98" w:rsidP="00E51B98">
      <w:pPr>
        <w:spacing w:line="360" w:lineRule="exact"/>
        <w:ind w:firstLineChars="100" w:firstLine="219"/>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484416">
        <w:rPr>
          <w:rFonts w:hAnsi="ＭＳ 明朝" w:hint="eastAsia"/>
          <w:szCs w:val="24"/>
        </w:rPr>
        <w:t>（単位：千円・％）</w:t>
      </w:r>
    </w:p>
    <w:bookmarkStart w:id="12" w:name="_MON_1436185429"/>
    <w:bookmarkEnd w:id="12"/>
    <w:p w:rsidR="00E51B98" w:rsidRDefault="00E51B98" w:rsidP="00E51B98">
      <w:pPr>
        <w:kinsoku w:val="0"/>
        <w:overflowPunct w:val="0"/>
        <w:snapToGrid w:val="0"/>
        <w:jc w:val="left"/>
        <w:rPr>
          <w:rFonts w:hAnsi="ＭＳ 明朝"/>
          <w:sz w:val="22"/>
        </w:rPr>
      </w:pPr>
      <w:r w:rsidRPr="00094087">
        <w:rPr>
          <w:rFonts w:hAnsi="ＭＳ 明朝"/>
          <w:sz w:val="22"/>
        </w:rPr>
        <w:object w:dxaOrig="10421" w:dyaOrig="7470">
          <v:shape id="_x0000_i1037" type="#_x0000_t75" style="width:482.25pt;height:387pt" o:ole="">
            <v:imagedata r:id="rId35" o:title=""/>
          </v:shape>
          <o:OLEObject Type="Embed" ProgID="Excel.Sheet.12" ShapeID="_x0000_i1037" DrawAspect="Content" ObjectID="_1470640284" r:id="rId36"/>
        </w:object>
      </w:r>
    </w:p>
    <w:p w:rsidR="00E51B98" w:rsidRPr="00B568F9" w:rsidRDefault="00E51B98" w:rsidP="00E51B98">
      <w:pPr>
        <w:kinsoku w:val="0"/>
        <w:overflowPunct w:val="0"/>
        <w:snapToGrid w:val="0"/>
        <w:jc w:val="left"/>
        <w:rPr>
          <w:rFonts w:hAnsi="ＭＳ 明朝"/>
          <w:szCs w:val="24"/>
        </w:rPr>
      </w:pPr>
      <w:r>
        <w:rPr>
          <w:rFonts w:hAnsi="ＭＳ 明朝" w:hint="eastAsia"/>
          <w:sz w:val="22"/>
        </w:rPr>
        <w:lastRenderedPageBreak/>
        <w:t xml:space="preserve">　</w:t>
      </w:r>
      <w:r w:rsidRPr="00B568F9">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bookmarkStart w:id="13" w:name="_MON_1436341860"/>
    <w:bookmarkEnd w:id="13"/>
    <w:p w:rsidR="00E51B98" w:rsidRPr="00FF7A81" w:rsidRDefault="00E51B98" w:rsidP="00E51B98">
      <w:pPr>
        <w:tabs>
          <w:tab w:val="left" w:pos="1276"/>
        </w:tabs>
        <w:kinsoku w:val="0"/>
        <w:overflowPunct w:val="0"/>
        <w:snapToGrid w:val="0"/>
        <w:jc w:val="left"/>
        <w:rPr>
          <w:rFonts w:hAnsi="ＭＳ 明朝"/>
          <w:szCs w:val="24"/>
        </w:rPr>
      </w:pPr>
      <w:r w:rsidRPr="00094087">
        <w:rPr>
          <w:rFonts w:hAnsi="ＭＳ 明朝"/>
          <w:szCs w:val="24"/>
        </w:rPr>
        <w:object w:dxaOrig="10505" w:dyaOrig="4338">
          <v:shape id="_x0000_i1038" type="#_x0000_t75" style="width:480.75pt;height:252pt" o:ole="">
            <v:imagedata r:id="rId37" o:title=""/>
          </v:shape>
          <o:OLEObject Type="Embed" ProgID="Excel.Sheet.12" ShapeID="_x0000_i1038" DrawAspect="Content" ObjectID="_1470640285" r:id="rId38"/>
        </w:object>
      </w:r>
    </w:p>
    <w:p w:rsidR="00E51B98" w:rsidRDefault="00E51B98" w:rsidP="00E51B98">
      <w:pPr>
        <w:kinsoku w:val="0"/>
        <w:overflowPunct w:val="0"/>
        <w:snapToGrid w:val="0"/>
        <w:ind w:right="321" w:firstLineChars="200" w:firstLine="446"/>
        <w:jc w:val="left"/>
        <w:rPr>
          <w:rFonts w:asciiTheme="minorEastAsia" w:eastAsiaTheme="minorEastAsia" w:hAnsiTheme="minorEastAsia"/>
          <w:spacing w:val="2"/>
          <w:szCs w:val="24"/>
        </w:rPr>
      </w:pPr>
    </w:p>
    <w:p w:rsidR="00E51B98" w:rsidRPr="00CB64CB" w:rsidRDefault="00E51B98" w:rsidP="00E51B98">
      <w:pPr>
        <w:kinsoku w:val="0"/>
        <w:overflowPunct w:val="0"/>
        <w:snapToGrid w:val="0"/>
        <w:ind w:right="321" w:firstLineChars="200" w:firstLine="446"/>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E51B98" w:rsidRPr="00CB64CB" w:rsidRDefault="00E51B98" w:rsidP="00E51B98">
      <w:pPr>
        <w:kinsoku w:val="0"/>
        <w:overflowPunct w:val="0"/>
        <w:snapToGrid w:val="0"/>
        <w:ind w:right="-6" w:firstLineChars="400" w:firstLine="89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固定資産は23,735,142千円で､前年度に比べ 388,178千円(1.7％)増加している。</w:t>
      </w:r>
    </w:p>
    <w:p w:rsidR="00E51B98" w:rsidRPr="00CB64CB" w:rsidRDefault="00E51B98" w:rsidP="00E51B98">
      <w:pPr>
        <w:kinsoku w:val="0"/>
        <w:overflowPunct w:val="0"/>
        <w:snapToGrid w:val="0"/>
        <w:ind w:right="-2" w:firstLineChars="400" w:firstLine="892"/>
        <w:jc w:val="left"/>
        <w:rPr>
          <w:rFonts w:asciiTheme="minorEastAsia" w:eastAsiaTheme="minorEastAsia" w:hAnsiTheme="minorEastAsia"/>
          <w:spacing w:val="2"/>
          <w:kern w:val="0"/>
          <w:szCs w:val="24"/>
        </w:rPr>
      </w:pPr>
      <w:r w:rsidRPr="00CB64CB">
        <w:rPr>
          <w:rFonts w:asciiTheme="minorEastAsia" w:eastAsiaTheme="minorEastAsia" w:hAnsiTheme="minorEastAsia" w:hint="eastAsia"/>
          <w:spacing w:val="2"/>
          <w:kern w:val="0"/>
          <w:szCs w:val="24"/>
        </w:rPr>
        <w:t>これは主に、有形固定資産の</w:t>
      </w:r>
      <w:r w:rsidRPr="00CB64CB">
        <w:rPr>
          <w:rFonts w:asciiTheme="minorEastAsia" w:eastAsiaTheme="minorEastAsia" w:hAnsiTheme="minorEastAsia" w:hint="eastAsia"/>
          <w:spacing w:val="2"/>
          <w:szCs w:val="24"/>
        </w:rPr>
        <w:t>機械及び装置</w:t>
      </w:r>
      <w:r w:rsidRPr="00CB64CB">
        <w:rPr>
          <w:rFonts w:asciiTheme="minorEastAsia" w:eastAsiaTheme="minorEastAsia" w:hAnsiTheme="minorEastAsia" w:hint="eastAsia"/>
          <w:spacing w:val="2"/>
          <w:kern w:val="0"/>
          <w:szCs w:val="24"/>
        </w:rPr>
        <w:t>が29,558千円（△5.3％）減少したものの、</w:t>
      </w:r>
    </w:p>
    <w:p w:rsidR="00E51B98" w:rsidRDefault="00E51B98" w:rsidP="00E51B98">
      <w:pPr>
        <w:kinsoku w:val="0"/>
        <w:overflowPunct w:val="0"/>
        <w:snapToGrid w:val="0"/>
        <w:ind w:leftChars="300" w:left="657" w:right="-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構築物が</w:t>
      </w:r>
      <w:r w:rsidRPr="00196F49">
        <w:rPr>
          <w:rFonts w:asciiTheme="minorEastAsia" w:eastAsiaTheme="minorEastAsia" w:hAnsiTheme="minorEastAsia" w:hint="eastAsia"/>
          <w:spacing w:val="2"/>
          <w:szCs w:val="24"/>
        </w:rPr>
        <w:t>394,849</w:t>
      </w:r>
      <w:r w:rsidRPr="00CB64CB">
        <w:rPr>
          <w:rFonts w:asciiTheme="minorEastAsia" w:eastAsiaTheme="minorEastAsia" w:hAnsiTheme="minorEastAsia" w:hint="eastAsia"/>
          <w:spacing w:val="2"/>
          <w:szCs w:val="24"/>
        </w:rPr>
        <w:t>千円(1.8％)、建設仮勘定が17,894千円(155.0％)とそれぞれ増加した</w:t>
      </w:r>
    </w:p>
    <w:p w:rsidR="00E51B98" w:rsidRPr="00CB64CB" w:rsidRDefault="00E51B98" w:rsidP="00E51B98">
      <w:pPr>
        <w:kinsoku w:val="0"/>
        <w:overflowPunct w:val="0"/>
        <w:snapToGrid w:val="0"/>
        <w:ind w:leftChars="300" w:left="657" w:right="-2"/>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ことによるものである。また、投資は県営境川ダム建設出資金である。</w:t>
      </w:r>
    </w:p>
    <w:p w:rsidR="00E51B98" w:rsidRPr="007138A8" w:rsidRDefault="00E51B98" w:rsidP="00E51B98">
      <w:pPr>
        <w:kinsoku w:val="0"/>
        <w:overflowPunct w:val="0"/>
        <w:snapToGrid w:val="0"/>
        <w:ind w:right="-6" w:firstLineChars="305" w:firstLine="668"/>
        <w:jc w:val="left"/>
        <w:rPr>
          <w:rFonts w:hAnsi="ＭＳ 明朝"/>
          <w:szCs w:val="24"/>
        </w:rPr>
      </w:pPr>
    </w:p>
    <w:p w:rsidR="00E51B98" w:rsidRPr="007138A8" w:rsidRDefault="00E51B98" w:rsidP="00E51B98">
      <w:pPr>
        <w:kinsoku w:val="0"/>
        <w:overflowPunct w:val="0"/>
        <w:snapToGrid w:val="0"/>
        <w:ind w:right="1021" w:firstLineChars="200" w:firstLine="438"/>
        <w:jc w:val="left"/>
        <w:rPr>
          <w:rFonts w:hAnsi="ＭＳ 明朝"/>
          <w:szCs w:val="24"/>
        </w:rPr>
      </w:pPr>
      <w:r w:rsidRPr="007138A8">
        <w:rPr>
          <w:rFonts w:hAnsi="ＭＳ 明朝" w:hint="eastAsia"/>
          <w:szCs w:val="24"/>
        </w:rPr>
        <w:t xml:space="preserve">イ　</w:t>
      </w:r>
      <w:r w:rsidRPr="007138A8">
        <w:rPr>
          <w:rFonts w:hAnsi="ＭＳ 明朝" w:hint="eastAsia"/>
          <w:kern w:val="0"/>
          <w:szCs w:val="24"/>
        </w:rPr>
        <w:t>流動資産</w:t>
      </w:r>
    </w:p>
    <w:p w:rsidR="00E51B98" w:rsidRPr="00263B0A" w:rsidRDefault="00E51B98" w:rsidP="00E51B98">
      <w:pPr>
        <w:tabs>
          <w:tab w:val="left" w:pos="9360"/>
        </w:tabs>
        <w:kinsoku w:val="0"/>
        <w:overflowPunct w:val="0"/>
        <w:snapToGrid w:val="0"/>
        <w:ind w:right="-6" w:firstLineChars="400" w:firstLine="860"/>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szCs w:val="24"/>
        </w:rPr>
        <w:t>流動資産は2,049,624千円で､前年度に比べ 39,198千円(△1.9％)減少している。</w:t>
      </w:r>
    </w:p>
    <w:p w:rsidR="00E51B98" w:rsidRDefault="00E51B98" w:rsidP="00E51B98">
      <w:pPr>
        <w:kinsoku w:val="0"/>
        <w:overflowPunct w:val="0"/>
        <w:snapToGrid w:val="0"/>
        <w:ind w:leftChars="300" w:left="657" w:right="37" w:firstLineChars="100" w:firstLine="215"/>
        <w:jc w:val="left"/>
        <w:rPr>
          <w:rFonts w:asciiTheme="minorEastAsia" w:eastAsiaTheme="minorEastAsia" w:hAnsiTheme="minorEastAsia"/>
          <w:spacing w:val="-2"/>
          <w:kern w:val="0"/>
          <w:szCs w:val="24"/>
        </w:rPr>
      </w:pPr>
      <w:r w:rsidRPr="00263B0A">
        <w:rPr>
          <w:rFonts w:asciiTheme="minorEastAsia" w:eastAsiaTheme="minorEastAsia" w:hAnsiTheme="minorEastAsia" w:hint="eastAsia"/>
          <w:spacing w:val="-2"/>
          <w:szCs w:val="24"/>
        </w:rPr>
        <w:t>これは主に、未収金が41,692千円</w:t>
      </w:r>
      <w:r>
        <w:rPr>
          <w:rFonts w:asciiTheme="minorEastAsia" w:eastAsiaTheme="minorEastAsia" w:hAnsiTheme="minorEastAsia" w:hint="eastAsia"/>
          <w:spacing w:val="-2"/>
          <w:szCs w:val="24"/>
        </w:rPr>
        <w:t>(</w:t>
      </w:r>
      <w:r w:rsidRPr="00263B0A">
        <w:rPr>
          <w:rFonts w:asciiTheme="minorEastAsia" w:eastAsiaTheme="minorEastAsia" w:hAnsiTheme="minorEastAsia" w:hint="eastAsia"/>
          <w:spacing w:val="-2"/>
          <w:szCs w:val="24"/>
        </w:rPr>
        <w:t>12.3％</w:t>
      </w:r>
      <w:r>
        <w:rPr>
          <w:rFonts w:asciiTheme="minorEastAsia" w:eastAsiaTheme="minorEastAsia" w:hAnsiTheme="minorEastAsia" w:hint="eastAsia"/>
          <w:spacing w:val="-2"/>
          <w:szCs w:val="24"/>
        </w:rPr>
        <w:t>)</w:t>
      </w:r>
      <w:r w:rsidRPr="00263B0A">
        <w:rPr>
          <w:rFonts w:asciiTheme="minorEastAsia" w:eastAsiaTheme="minorEastAsia" w:hAnsiTheme="minorEastAsia" w:hint="eastAsia"/>
          <w:spacing w:val="-2"/>
          <w:szCs w:val="24"/>
        </w:rPr>
        <w:t>増加したものの、</w:t>
      </w:r>
      <w:r w:rsidRPr="00263B0A">
        <w:rPr>
          <w:rFonts w:asciiTheme="minorEastAsia" w:eastAsiaTheme="minorEastAsia" w:hAnsiTheme="minorEastAsia" w:hint="eastAsia"/>
          <w:spacing w:val="-2"/>
          <w:kern w:val="0"/>
          <w:szCs w:val="24"/>
        </w:rPr>
        <w:t>現金及び預金が82,661千円</w:t>
      </w:r>
    </w:p>
    <w:p w:rsidR="00E51B98" w:rsidRPr="00263B0A" w:rsidRDefault="00E51B98" w:rsidP="00E51B98">
      <w:pPr>
        <w:kinsoku w:val="0"/>
        <w:overflowPunct w:val="0"/>
        <w:snapToGrid w:val="0"/>
        <w:ind w:right="37" w:firstLineChars="300" w:firstLine="645"/>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 xml:space="preserve"> (△4.8％)減少したことによるものである。</w:t>
      </w:r>
    </w:p>
    <w:p w:rsidR="00E51B98" w:rsidRPr="00263B0A" w:rsidRDefault="00E51B98" w:rsidP="00E51B98">
      <w:pPr>
        <w:tabs>
          <w:tab w:val="left" w:pos="851"/>
        </w:tabs>
        <w:kinsoku w:val="0"/>
        <w:overflowPunct w:val="0"/>
        <w:snapToGrid w:val="0"/>
        <w:ind w:right="-6" w:firstLineChars="400" w:firstLine="860"/>
        <w:jc w:val="left"/>
        <w:rPr>
          <w:rFonts w:asciiTheme="minorEastAsia" w:eastAsiaTheme="minorEastAsia" w:hAnsiTheme="minorEastAsia"/>
          <w:spacing w:val="-2"/>
          <w:szCs w:val="24"/>
        </w:rPr>
      </w:pPr>
      <w:r w:rsidRPr="00263B0A">
        <w:rPr>
          <w:rFonts w:asciiTheme="minorEastAsia" w:eastAsiaTheme="minorEastAsia" w:hAnsiTheme="minorEastAsia" w:hint="eastAsia"/>
          <w:spacing w:val="-2"/>
          <w:kern w:val="0"/>
          <w:szCs w:val="24"/>
        </w:rPr>
        <w:t>また、貯蔵品の状況について、たな卸検査を実施したところ適正に管理されていた。</w:t>
      </w:r>
    </w:p>
    <w:p w:rsidR="00E51B98" w:rsidRPr="007138A8" w:rsidRDefault="00E51B98" w:rsidP="00E51B98">
      <w:pPr>
        <w:kinsoku w:val="0"/>
        <w:overflowPunct w:val="0"/>
        <w:snapToGrid w:val="0"/>
        <w:jc w:val="left"/>
        <w:rPr>
          <w:rFonts w:hAnsi="ＭＳ 明朝"/>
          <w:szCs w:val="24"/>
        </w:rPr>
      </w:pPr>
    </w:p>
    <w:p w:rsidR="00E51B98" w:rsidRPr="00B568F9" w:rsidRDefault="00E51B98" w:rsidP="00E51B98">
      <w:pPr>
        <w:kinsoku w:val="0"/>
        <w:overflowPunct w:val="0"/>
        <w:snapToGrid w:val="0"/>
        <w:ind w:firstLineChars="100" w:firstLine="219"/>
        <w:jc w:val="left"/>
        <w:rPr>
          <w:rFonts w:hAnsi="ＭＳ 明朝"/>
          <w:szCs w:val="24"/>
        </w:rPr>
      </w:pPr>
      <w:r w:rsidRPr="00565C66">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bookmarkStart w:id="14" w:name="_MON_1436343622"/>
    <w:bookmarkEnd w:id="14"/>
    <w:p w:rsidR="00E51B98" w:rsidRDefault="00E51B98" w:rsidP="00E51B98">
      <w:pPr>
        <w:kinsoku w:val="0"/>
        <w:overflowPunct w:val="0"/>
        <w:snapToGrid w:val="0"/>
        <w:ind w:left="110" w:hangingChars="50" w:hanging="110"/>
        <w:jc w:val="left"/>
        <w:rPr>
          <w:rFonts w:hAnsi="ＭＳ 明朝"/>
          <w:sz w:val="18"/>
          <w:szCs w:val="18"/>
        </w:rPr>
      </w:pPr>
      <w:r w:rsidRPr="005762B5">
        <w:rPr>
          <w:rFonts w:hAnsi="ＭＳ 明朝"/>
          <w:szCs w:val="24"/>
        </w:rPr>
        <w:object w:dxaOrig="8821" w:dyaOrig="3224">
          <v:shape id="_x0000_i1039" type="#_x0000_t75" style="width:480.75pt;height:192pt" o:ole="">
            <v:imagedata r:id="rId39" o:title=""/>
          </v:shape>
          <o:OLEObject Type="Embed" ProgID="Excel.Sheet.12" ShapeID="_x0000_i1039" DrawAspect="Content" ObjectID="_1470640286" r:id="rId40"/>
        </w:object>
      </w:r>
      <w:r>
        <w:rPr>
          <w:rFonts w:hAnsi="ＭＳ 明朝" w:hint="eastAsia"/>
          <w:szCs w:val="24"/>
        </w:rPr>
        <w:t xml:space="preserve">　</w:t>
      </w:r>
      <w:r w:rsidRPr="008F746F">
        <w:rPr>
          <w:rFonts w:hAnsi="ＭＳ 明朝" w:hint="eastAsia"/>
          <w:sz w:val="18"/>
          <w:szCs w:val="18"/>
        </w:rPr>
        <w:t>(注)　（　　）内は件数</w:t>
      </w:r>
    </w:p>
    <w:p w:rsidR="00E51B98" w:rsidRPr="00CB64CB" w:rsidRDefault="00E51B98" w:rsidP="00E51B98">
      <w:pPr>
        <w:kinsoku w:val="0"/>
        <w:overflowPunct w:val="0"/>
        <w:snapToGrid w:val="0"/>
        <w:jc w:val="left"/>
        <w:rPr>
          <w:rFonts w:hAnsi="ＭＳ 明朝"/>
          <w:sz w:val="18"/>
          <w:szCs w:val="18"/>
        </w:rPr>
      </w:pPr>
    </w:p>
    <w:p w:rsidR="00E51B98" w:rsidRPr="00994BA2" w:rsidRDefault="00E51B98" w:rsidP="00E51B98">
      <w:pPr>
        <w:tabs>
          <w:tab w:val="left" w:pos="9360"/>
        </w:tabs>
        <w:kinsoku w:val="0"/>
        <w:overflowPunct w:val="0"/>
        <w:snapToGrid w:val="0"/>
        <w:spacing w:line="340" w:lineRule="exact"/>
        <w:ind w:right="37" w:firstLineChars="200" w:firstLine="518"/>
        <w:rPr>
          <w:rFonts w:hAnsi="ＭＳ 明朝"/>
          <w:spacing w:val="20"/>
          <w:szCs w:val="24"/>
        </w:rPr>
      </w:pPr>
      <w:r w:rsidRPr="00994BA2">
        <w:rPr>
          <w:rFonts w:hAnsi="ＭＳ 明朝" w:hint="eastAsia"/>
          <w:spacing w:val="20"/>
          <w:szCs w:val="24"/>
        </w:rPr>
        <w:t>前年度に比べ</w:t>
      </w:r>
      <w:r w:rsidRPr="00994BA2">
        <w:rPr>
          <w:rFonts w:ascii="ＭＳ Ｐ明朝" w:eastAsia="ＭＳ Ｐ明朝" w:hAnsi="ＭＳ Ｐ明朝" w:hint="eastAsia"/>
          <w:spacing w:val="20"/>
          <w:szCs w:val="24"/>
        </w:rPr>
        <w:t>、</w:t>
      </w:r>
      <w:r w:rsidRPr="00994BA2">
        <w:rPr>
          <w:rFonts w:hAnsi="ＭＳ 明朝" w:hint="eastAsia"/>
          <w:spacing w:val="20"/>
          <w:szCs w:val="24"/>
        </w:rPr>
        <w:t>未収受託工事収益及び諸未収金が増加している。</w:t>
      </w:r>
    </w:p>
    <w:p w:rsidR="00E51B98" w:rsidRPr="00994BA2" w:rsidRDefault="00E51B98" w:rsidP="00E51B9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E51B98" w:rsidRPr="00994BA2" w:rsidRDefault="00E51B98" w:rsidP="00E51B98">
      <w:pPr>
        <w:ind w:firstLineChars="300" w:firstLine="657"/>
        <w:rPr>
          <w:szCs w:val="24"/>
        </w:rPr>
      </w:pPr>
      <w:r w:rsidRPr="00994BA2">
        <w:rPr>
          <w:rFonts w:hint="eastAsia"/>
          <w:szCs w:val="24"/>
        </w:rPr>
        <w:t>負債及び資本の内訳は、下表のとおりである。</w:t>
      </w:r>
    </w:p>
    <w:p w:rsidR="00E51B98" w:rsidRDefault="00E51B98" w:rsidP="00E51B98">
      <w:pPr>
        <w:kinsoku w:val="0"/>
        <w:overflowPunct w:val="0"/>
        <w:snapToGrid w:val="0"/>
        <w:ind w:firstLineChars="100" w:firstLine="219"/>
        <w:jc w:val="left"/>
        <w:rPr>
          <w:rFonts w:hAnsi="ＭＳ 明朝"/>
          <w:sz w:val="22"/>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（単位：千円・％）</w:t>
      </w:r>
      <w:bookmarkStart w:id="15" w:name="_MON_1436248066"/>
      <w:bookmarkEnd w:id="15"/>
      <w:r w:rsidRPr="00094087">
        <w:rPr>
          <w:rFonts w:hAnsi="ＭＳ 明朝"/>
          <w:sz w:val="22"/>
        </w:rPr>
        <w:object w:dxaOrig="10553" w:dyaOrig="11352">
          <v:shape id="_x0000_i1040" type="#_x0000_t75" style="width:480pt;height:603.75pt" o:ole="">
            <v:imagedata r:id="rId41" o:title=""/>
            <o:lock v:ext="edit" aspectratio="f"/>
          </v:shape>
          <o:OLEObject Type="Embed" ProgID="Excel.Sheet.12" ShapeID="_x0000_i1040" DrawAspect="Content" ObjectID="_1470640287" r:id="rId42"/>
        </w:object>
      </w:r>
    </w:p>
    <w:p w:rsidR="00E51B98" w:rsidRDefault="00E51B98" w:rsidP="00E51B98">
      <w:pPr>
        <w:snapToGrid w:val="0"/>
        <w:jc w:val="left"/>
        <w:rPr>
          <w:rFonts w:hAnsi="ＭＳ 明朝"/>
          <w:sz w:val="22"/>
        </w:rPr>
      </w:pPr>
    </w:p>
    <w:p w:rsidR="00E51B98" w:rsidRDefault="00E51B98" w:rsidP="00E51B98">
      <w:pPr>
        <w:snapToGrid w:val="0"/>
        <w:jc w:val="left"/>
        <w:rPr>
          <w:rFonts w:hAnsi="ＭＳ 明朝"/>
          <w:sz w:val="22"/>
        </w:rPr>
      </w:pPr>
    </w:p>
    <w:p w:rsidR="00E51B98" w:rsidRDefault="00E51B98" w:rsidP="00E51B98">
      <w:pPr>
        <w:snapToGrid w:val="0"/>
        <w:jc w:val="left"/>
        <w:rPr>
          <w:rFonts w:hAnsi="ＭＳ 明朝"/>
          <w:sz w:val="22"/>
        </w:rPr>
      </w:pPr>
    </w:p>
    <w:p w:rsidR="00E51B98" w:rsidRPr="00683EFB" w:rsidRDefault="00E51B98" w:rsidP="00E51B98">
      <w:pPr>
        <w:snapToGrid w:val="0"/>
        <w:jc w:val="left"/>
        <w:rPr>
          <w:rFonts w:hAnsi="ＭＳ 明朝"/>
          <w:sz w:val="22"/>
        </w:rPr>
      </w:pPr>
    </w:p>
    <w:p w:rsidR="00E51B98" w:rsidRPr="00994BA2" w:rsidRDefault="00E51B98" w:rsidP="00E51B98">
      <w:pPr>
        <w:snapToGrid w:val="0"/>
        <w:ind w:firstLineChars="200" w:firstLine="438"/>
        <w:jc w:val="left"/>
        <w:rPr>
          <w:rFonts w:hAnsi="ＭＳ 明朝"/>
          <w:szCs w:val="24"/>
        </w:rPr>
      </w:pPr>
      <w:r w:rsidRPr="00994BA2">
        <w:rPr>
          <w:rFonts w:hAnsi="ＭＳ 明朝" w:hint="eastAsia"/>
          <w:szCs w:val="24"/>
        </w:rPr>
        <w:lastRenderedPageBreak/>
        <w:t xml:space="preserve">ア　</w:t>
      </w:r>
      <w:r>
        <w:rPr>
          <w:rFonts w:hAnsi="ＭＳ 明朝" w:hint="eastAsia"/>
          <w:kern w:val="0"/>
          <w:szCs w:val="24"/>
        </w:rPr>
        <w:t>固定負</w:t>
      </w:r>
      <w:r w:rsidRPr="00994BA2">
        <w:rPr>
          <w:rFonts w:hAnsi="ＭＳ 明朝" w:hint="eastAsia"/>
          <w:kern w:val="0"/>
          <w:szCs w:val="24"/>
        </w:rPr>
        <w:t>債</w:t>
      </w:r>
    </w:p>
    <w:p w:rsidR="00E51B98" w:rsidRPr="00994BA2" w:rsidRDefault="00E51B98" w:rsidP="00E51B98">
      <w:pPr>
        <w:adjustRightInd w:val="0"/>
        <w:snapToGrid w:val="0"/>
        <w:spacing w:line="362" w:lineRule="exact"/>
        <w:ind w:right="-6" w:firstLineChars="396" w:firstLine="867"/>
        <w:rPr>
          <w:rFonts w:hAnsi="ＭＳ 明朝"/>
          <w:snapToGrid w:val="0"/>
          <w:kern w:val="0"/>
          <w:szCs w:val="24"/>
        </w:rPr>
      </w:pPr>
      <w:r w:rsidRPr="00994BA2">
        <w:rPr>
          <w:rFonts w:hAnsi="ＭＳ 明朝" w:hint="eastAsia"/>
          <w:snapToGrid w:val="0"/>
          <w:kern w:val="0"/>
          <w:szCs w:val="24"/>
        </w:rPr>
        <w:t>固定負債は</w:t>
      </w:r>
      <w:r>
        <w:rPr>
          <w:rFonts w:hAnsi="ＭＳ 明朝" w:hint="eastAsia"/>
          <w:snapToGrid w:val="0"/>
          <w:kern w:val="0"/>
          <w:szCs w:val="24"/>
        </w:rPr>
        <w:t>234,189</w:t>
      </w:r>
      <w:r w:rsidRPr="00994BA2">
        <w:rPr>
          <w:rFonts w:hAnsi="ＭＳ 明朝" w:hint="eastAsia"/>
          <w:snapToGrid w:val="0"/>
          <w:kern w:val="0"/>
          <w:szCs w:val="24"/>
        </w:rPr>
        <w:t>千円で、前年度に比べ</w:t>
      </w:r>
      <w:r>
        <w:rPr>
          <w:rFonts w:hAnsi="ＭＳ 明朝" w:hint="eastAsia"/>
          <w:snapToGrid w:val="0"/>
          <w:kern w:val="0"/>
          <w:szCs w:val="24"/>
        </w:rPr>
        <w:t>20,940千円(</w:t>
      </w:r>
      <w:r w:rsidRPr="00994BA2">
        <w:rPr>
          <w:rFonts w:hAnsi="ＭＳ 明朝" w:hint="eastAsia"/>
          <w:snapToGrid w:val="0"/>
          <w:kern w:val="0"/>
          <w:szCs w:val="24"/>
        </w:rPr>
        <w:t>△</w:t>
      </w:r>
      <w:r>
        <w:rPr>
          <w:rFonts w:hAnsi="ＭＳ 明朝" w:hint="eastAsia"/>
          <w:snapToGrid w:val="0"/>
          <w:kern w:val="0"/>
          <w:szCs w:val="24"/>
        </w:rPr>
        <w:t>8.2％)</w:t>
      </w:r>
      <w:r w:rsidRPr="00994BA2">
        <w:rPr>
          <w:rFonts w:hAnsi="ＭＳ 明朝" w:hint="eastAsia"/>
          <w:kern w:val="0"/>
          <w:szCs w:val="24"/>
        </w:rPr>
        <w:t>減少</w:t>
      </w:r>
      <w:r w:rsidRPr="00994BA2">
        <w:rPr>
          <w:rFonts w:hAnsi="ＭＳ 明朝" w:hint="eastAsia"/>
          <w:snapToGrid w:val="0"/>
          <w:kern w:val="0"/>
          <w:szCs w:val="24"/>
        </w:rPr>
        <w:t>している。</w:t>
      </w:r>
    </w:p>
    <w:p w:rsidR="00E51B98" w:rsidRPr="00994BA2" w:rsidRDefault="00E51B98" w:rsidP="00E51B98">
      <w:pPr>
        <w:adjustRightInd w:val="0"/>
        <w:snapToGrid w:val="0"/>
        <w:spacing w:line="362" w:lineRule="exact"/>
        <w:ind w:right="-6" w:firstLineChars="331" w:firstLine="857"/>
        <w:rPr>
          <w:rFonts w:hAnsi="ＭＳ 明朝"/>
          <w:spacing w:val="20"/>
          <w:szCs w:val="24"/>
        </w:rPr>
      </w:pPr>
      <w:r w:rsidRPr="00994BA2">
        <w:rPr>
          <w:rFonts w:hAnsi="ＭＳ 明朝" w:hint="eastAsia"/>
          <w:spacing w:val="20"/>
          <w:szCs w:val="24"/>
        </w:rPr>
        <w:t>これは、すべて修繕引当金である。</w:t>
      </w:r>
    </w:p>
    <w:p w:rsidR="00E51B98" w:rsidRPr="00994BA2" w:rsidRDefault="00E51B98" w:rsidP="00E51B98">
      <w:pPr>
        <w:adjustRightInd w:val="0"/>
        <w:snapToGrid w:val="0"/>
        <w:spacing w:line="362" w:lineRule="exact"/>
        <w:ind w:right="1020"/>
        <w:rPr>
          <w:rFonts w:hAnsi="ＭＳ 明朝"/>
          <w:spacing w:val="20"/>
          <w:szCs w:val="24"/>
        </w:rPr>
      </w:pPr>
    </w:p>
    <w:p w:rsidR="00E51B98" w:rsidRPr="00994BA2" w:rsidRDefault="00E51B98" w:rsidP="00E51B98">
      <w:pPr>
        <w:adjustRightInd w:val="0"/>
        <w:snapToGrid w:val="0"/>
        <w:spacing w:line="362" w:lineRule="exact"/>
        <w:ind w:right="1020" w:firstLineChars="200" w:firstLine="438"/>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E51B98" w:rsidRPr="00994BA2" w:rsidRDefault="00E51B98" w:rsidP="00E51B98">
      <w:pPr>
        <w:adjustRightInd w:val="0"/>
        <w:snapToGrid w:val="0"/>
        <w:spacing w:line="362" w:lineRule="exact"/>
        <w:ind w:right="-6" w:firstLineChars="396" w:firstLine="867"/>
        <w:rPr>
          <w:rFonts w:hAnsi="ＭＳ 明朝"/>
          <w:spacing w:val="24"/>
          <w:szCs w:val="24"/>
        </w:rPr>
      </w:pPr>
      <w:r w:rsidRPr="00994BA2">
        <w:rPr>
          <w:rFonts w:hAnsi="ＭＳ 明朝" w:hint="eastAsia"/>
          <w:kern w:val="0"/>
          <w:szCs w:val="24"/>
        </w:rPr>
        <w:t>流動負債は</w:t>
      </w:r>
      <w:r>
        <w:rPr>
          <w:rFonts w:hAnsi="ＭＳ 明朝" w:hint="eastAsia"/>
          <w:kern w:val="0"/>
          <w:szCs w:val="24"/>
        </w:rPr>
        <w:t>350,751</w:t>
      </w:r>
      <w:r w:rsidRPr="00994BA2">
        <w:rPr>
          <w:rFonts w:hAnsi="ＭＳ 明朝" w:hint="eastAsia"/>
          <w:kern w:val="0"/>
          <w:szCs w:val="24"/>
        </w:rPr>
        <w:t>千円で、前年度に比べ</w:t>
      </w:r>
      <w:r>
        <w:rPr>
          <w:rFonts w:hAnsi="ＭＳ 明朝" w:hint="eastAsia"/>
          <w:kern w:val="0"/>
          <w:szCs w:val="24"/>
        </w:rPr>
        <w:t>126,558千円(△26.5％)</w:t>
      </w:r>
      <w:r w:rsidRPr="00994BA2">
        <w:rPr>
          <w:rFonts w:hAnsi="ＭＳ 明朝" w:hint="eastAsia"/>
          <w:snapToGrid w:val="0"/>
          <w:kern w:val="0"/>
          <w:szCs w:val="24"/>
        </w:rPr>
        <w:t xml:space="preserve"> </w:t>
      </w:r>
      <w:r>
        <w:rPr>
          <w:rFonts w:hAnsi="ＭＳ 明朝" w:hint="eastAsia"/>
          <w:snapToGrid w:val="0"/>
          <w:kern w:val="0"/>
          <w:szCs w:val="24"/>
        </w:rPr>
        <w:t>減少</w:t>
      </w:r>
      <w:r w:rsidRPr="00994BA2">
        <w:rPr>
          <w:rFonts w:hAnsi="ＭＳ 明朝" w:hint="eastAsia"/>
          <w:kern w:val="0"/>
          <w:szCs w:val="24"/>
        </w:rPr>
        <w:t>している。</w:t>
      </w:r>
    </w:p>
    <w:p w:rsidR="00E51B98" w:rsidRDefault="00E51B98" w:rsidP="00E51B98">
      <w:pPr>
        <w:adjustRightInd w:val="0"/>
        <w:snapToGrid w:val="0"/>
        <w:spacing w:line="362" w:lineRule="exact"/>
        <w:ind w:right="-6" w:firstLineChars="392" w:firstLine="859"/>
        <w:jc w:val="distribute"/>
        <w:rPr>
          <w:rFonts w:hAnsi="ＭＳ 明朝"/>
          <w:snapToGrid w:val="0"/>
          <w:szCs w:val="24"/>
        </w:rPr>
      </w:pPr>
      <w:r w:rsidRPr="00A859A2">
        <w:rPr>
          <w:rFonts w:hAnsi="ＭＳ 明朝" w:hint="eastAsia"/>
          <w:snapToGrid w:val="0"/>
          <w:szCs w:val="24"/>
        </w:rPr>
        <w:t>これは</w:t>
      </w:r>
      <w:r w:rsidRPr="00B92E37">
        <w:rPr>
          <w:rFonts w:hAnsi="ＭＳ 明朝" w:hint="eastAsia"/>
          <w:snapToGrid w:val="0"/>
          <w:szCs w:val="24"/>
        </w:rPr>
        <w:t>、工事請負費などの未払金が</w:t>
      </w:r>
      <w:r>
        <w:rPr>
          <w:rFonts w:hAnsi="ＭＳ 明朝" w:hint="eastAsia"/>
          <w:snapToGrid w:val="0"/>
          <w:szCs w:val="24"/>
        </w:rPr>
        <w:t>88,411</w:t>
      </w:r>
      <w:r w:rsidRPr="00B92E37">
        <w:rPr>
          <w:rFonts w:hAnsi="ＭＳ 明朝" w:hint="eastAsia"/>
          <w:snapToGrid w:val="0"/>
          <w:szCs w:val="24"/>
        </w:rPr>
        <w:t>千円(41.8％)増加したものの、預かり</w:t>
      </w:r>
    </w:p>
    <w:p w:rsidR="00E51B98" w:rsidRDefault="00E51B98" w:rsidP="00E51B98">
      <w:pPr>
        <w:adjustRightInd w:val="0"/>
        <w:snapToGrid w:val="0"/>
        <w:spacing w:line="362" w:lineRule="exact"/>
        <w:ind w:right="-6" w:firstLineChars="300" w:firstLine="657"/>
        <w:jc w:val="distribute"/>
        <w:rPr>
          <w:rFonts w:hAnsi="ＭＳ 明朝"/>
          <w:snapToGrid w:val="0"/>
          <w:szCs w:val="24"/>
        </w:rPr>
      </w:pPr>
      <w:r w:rsidRPr="00B92E37">
        <w:rPr>
          <w:rFonts w:hAnsi="ＭＳ 明朝" w:hint="eastAsia"/>
          <w:snapToGrid w:val="0"/>
          <w:szCs w:val="24"/>
        </w:rPr>
        <w:t>下水道使用料などその他流動負債が214,969</w:t>
      </w:r>
      <w:r>
        <w:rPr>
          <w:rFonts w:hAnsi="ＭＳ 明朝" w:hint="eastAsia"/>
          <w:snapToGrid w:val="0"/>
          <w:szCs w:val="24"/>
        </w:rPr>
        <w:t>千円(</w:t>
      </w:r>
      <w:r w:rsidRPr="00B92E37">
        <w:rPr>
          <w:rFonts w:hAnsi="ＭＳ 明朝" w:hint="eastAsia"/>
          <w:snapToGrid w:val="0"/>
          <w:szCs w:val="24"/>
        </w:rPr>
        <w:t>△80.9％</w:t>
      </w:r>
      <w:r>
        <w:rPr>
          <w:rFonts w:hAnsi="ＭＳ 明朝" w:hint="eastAsia"/>
          <w:snapToGrid w:val="0"/>
          <w:szCs w:val="24"/>
        </w:rPr>
        <w:t>)</w:t>
      </w:r>
      <w:r w:rsidRPr="00B92E37">
        <w:rPr>
          <w:rFonts w:hAnsi="ＭＳ 明朝" w:hint="eastAsia"/>
          <w:snapToGrid w:val="0"/>
          <w:szCs w:val="24"/>
        </w:rPr>
        <w:t>減少したことによる</w:t>
      </w:r>
    </w:p>
    <w:p w:rsidR="00E51B98" w:rsidRPr="00A859A2" w:rsidRDefault="00E51B98" w:rsidP="00E51B98">
      <w:pPr>
        <w:adjustRightInd w:val="0"/>
        <w:snapToGrid w:val="0"/>
        <w:spacing w:line="362" w:lineRule="exact"/>
        <w:ind w:right="-6" w:firstLineChars="300" w:firstLine="657"/>
        <w:rPr>
          <w:rFonts w:hAnsi="ＭＳ 明朝"/>
          <w:snapToGrid w:val="0"/>
          <w:szCs w:val="24"/>
        </w:rPr>
      </w:pPr>
      <w:r w:rsidRPr="00B92E37">
        <w:rPr>
          <w:rFonts w:hAnsi="ＭＳ 明朝" w:hint="eastAsia"/>
          <w:snapToGrid w:val="0"/>
          <w:szCs w:val="24"/>
        </w:rPr>
        <w:t>ものである。</w:t>
      </w:r>
    </w:p>
    <w:p w:rsidR="00E51B98" w:rsidRPr="00A859A2" w:rsidRDefault="00E51B98" w:rsidP="00E51B98">
      <w:pPr>
        <w:adjustRightInd w:val="0"/>
        <w:snapToGrid w:val="0"/>
        <w:spacing w:line="362" w:lineRule="exact"/>
        <w:ind w:right="1020"/>
        <w:rPr>
          <w:rFonts w:hAnsi="ＭＳ 明朝"/>
          <w:szCs w:val="24"/>
        </w:rPr>
      </w:pPr>
    </w:p>
    <w:p w:rsidR="00E51B98" w:rsidRPr="00994BA2" w:rsidRDefault="00E51B98" w:rsidP="00E51B98">
      <w:pPr>
        <w:adjustRightInd w:val="0"/>
        <w:snapToGrid w:val="0"/>
        <w:spacing w:line="362" w:lineRule="exact"/>
        <w:ind w:right="1020" w:firstLineChars="200" w:firstLine="438"/>
        <w:rPr>
          <w:rFonts w:hAnsi="ＭＳ 明朝"/>
          <w:szCs w:val="24"/>
        </w:rPr>
      </w:pPr>
      <w:r w:rsidRPr="00994BA2">
        <w:rPr>
          <w:rFonts w:hAnsi="ＭＳ 明朝" w:hint="eastAsia"/>
          <w:szCs w:val="24"/>
        </w:rPr>
        <w:t xml:space="preserve">ウ　</w:t>
      </w:r>
      <w:r>
        <w:rPr>
          <w:rFonts w:hAnsi="ＭＳ 明朝" w:hint="eastAsia"/>
          <w:kern w:val="0"/>
          <w:szCs w:val="24"/>
        </w:rPr>
        <w:t>資本</w:t>
      </w:r>
      <w:r w:rsidRPr="00994BA2">
        <w:rPr>
          <w:rFonts w:hAnsi="ＭＳ 明朝" w:hint="eastAsia"/>
          <w:kern w:val="0"/>
          <w:szCs w:val="24"/>
        </w:rPr>
        <w:t>金</w:t>
      </w:r>
    </w:p>
    <w:p w:rsidR="00E51B98" w:rsidRPr="00A859A2" w:rsidRDefault="00E51B98" w:rsidP="00E51B98">
      <w:pPr>
        <w:adjustRightInd w:val="0"/>
        <w:snapToGrid w:val="0"/>
        <w:spacing w:line="362" w:lineRule="exact"/>
        <w:ind w:leftChars="130" w:left="285" w:right="-3" w:firstLineChars="265" w:firstLine="580"/>
        <w:rPr>
          <w:rFonts w:hAnsi="ＭＳ 明朝"/>
          <w:snapToGrid w:val="0"/>
          <w:szCs w:val="24"/>
        </w:rPr>
      </w:pPr>
      <w:r w:rsidRPr="00A859A2">
        <w:rPr>
          <w:rFonts w:hAnsi="ＭＳ 明朝" w:hint="eastAsia"/>
          <w:snapToGrid w:val="0"/>
          <w:szCs w:val="24"/>
        </w:rPr>
        <w:t>資本金は</w:t>
      </w:r>
      <w:r>
        <w:rPr>
          <w:rFonts w:hAnsi="ＭＳ 明朝" w:hint="eastAsia"/>
          <w:snapToGrid w:val="0"/>
          <w:szCs w:val="24"/>
        </w:rPr>
        <w:t>12,609,008</w:t>
      </w:r>
      <w:r w:rsidRPr="00A859A2">
        <w:rPr>
          <w:rFonts w:hAnsi="ＭＳ 明朝" w:hint="eastAsia"/>
          <w:snapToGrid w:val="0"/>
          <w:szCs w:val="24"/>
        </w:rPr>
        <w:t>千円で、前年度に比べ</w:t>
      </w:r>
      <w:r>
        <w:rPr>
          <w:rFonts w:hAnsi="ＭＳ 明朝" w:hint="eastAsia"/>
          <w:snapToGrid w:val="0"/>
          <w:szCs w:val="24"/>
        </w:rPr>
        <w:t>143,449</w:t>
      </w:r>
      <w:r w:rsidRPr="00A859A2">
        <w:rPr>
          <w:rFonts w:hAnsi="ＭＳ 明朝" w:hint="eastAsia"/>
          <w:snapToGrid w:val="0"/>
          <w:szCs w:val="24"/>
        </w:rPr>
        <w:t>千円(1.</w:t>
      </w:r>
      <w:r>
        <w:rPr>
          <w:rFonts w:hAnsi="ＭＳ 明朝" w:hint="eastAsia"/>
          <w:snapToGrid w:val="0"/>
          <w:szCs w:val="24"/>
        </w:rPr>
        <w:t>2</w:t>
      </w:r>
      <w:r w:rsidRPr="00A859A2">
        <w:rPr>
          <w:rFonts w:hAnsi="ＭＳ 明朝" w:hint="eastAsia"/>
          <w:snapToGrid w:val="0"/>
          <w:szCs w:val="24"/>
        </w:rPr>
        <w:t>％)増加している。</w:t>
      </w:r>
    </w:p>
    <w:p w:rsidR="00E51B98" w:rsidRDefault="00E51B98" w:rsidP="00E51B98">
      <w:pPr>
        <w:adjustRightInd w:val="0"/>
        <w:snapToGrid w:val="0"/>
        <w:spacing w:line="362" w:lineRule="exact"/>
        <w:ind w:leftChars="130" w:left="285" w:right="-3" w:firstLineChars="265" w:firstLine="580"/>
        <w:rPr>
          <w:rFonts w:hAnsi="ＭＳ 明朝"/>
          <w:kern w:val="0"/>
          <w:szCs w:val="24"/>
        </w:rPr>
      </w:pPr>
      <w:r w:rsidRPr="00A859A2">
        <w:rPr>
          <w:rFonts w:hAnsi="ＭＳ 明朝" w:hint="eastAsia"/>
          <w:snapToGrid w:val="0"/>
          <w:kern w:val="0"/>
          <w:szCs w:val="24"/>
        </w:rPr>
        <w:t>これは、</w:t>
      </w:r>
      <w:r w:rsidRPr="00B92E37">
        <w:rPr>
          <w:rFonts w:hAnsi="ＭＳ 明朝" w:hint="eastAsia"/>
          <w:snapToGrid w:val="0"/>
          <w:kern w:val="0"/>
          <w:szCs w:val="24"/>
        </w:rPr>
        <w:t>企業債の元金償還により</w:t>
      </w:r>
      <w:r w:rsidRPr="00B92E37">
        <w:rPr>
          <w:rFonts w:hAnsi="ＭＳ 明朝" w:hint="eastAsia"/>
          <w:kern w:val="0"/>
          <w:szCs w:val="24"/>
        </w:rPr>
        <w:t>借入資本金が61,453千円</w:t>
      </w:r>
      <w:r>
        <w:rPr>
          <w:rFonts w:hAnsi="ＭＳ 明朝" w:hint="eastAsia"/>
          <w:kern w:val="0"/>
          <w:szCs w:val="24"/>
        </w:rPr>
        <w:t>（</w:t>
      </w:r>
      <w:r w:rsidRPr="00B92E37">
        <w:rPr>
          <w:rFonts w:hAnsi="ＭＳ 明朝" w:hint="eastAsia"/>
          <w:kern w:val="0"/>
          <w:szCs w:val="24"/>
        </w:rPr>
        <w:t>△0.8％</w:t>
      </w:r>
      <w:r>
        <w:rPr>
          <w:rFonts w:hAnsi="ＭＳ 明朝" w:hint="eastAsia"/>
          <w:kern w:val="0"/>
          <w:szCs w:val="24"/>
        </w:rPr>
        <w:t>）</w:t>
      </w:r>
      <w:r w:rsidRPr="00B92E37">
        <w:rPr>
          <w:rFonts w:hAnsi="ＭＳ 明朝" w:hint="eastAsia"/>
          <w:kern w:val="0"/>
          <w:szCs w:val="24"/>
        </w:rPr>
        <w:t>減少したものの、</w:t>
      </w:r>
    </w:p>
    <w:p w:rsidR="00E51B98" w:rsidRPr="00A859A2" w:rsidRDefault="00E51B98" w:rsidP="00E51B98">
      <w:pPr>
        <w:adjustRightInd w:val="0"/>
        <w:snapToGrid w:val="0"/>
        <w:spacing w:line="362" w:lineRule="exact"/>
        <w:ind w:leftChars="300" w:left="657" w:right="-3"/>
        <w:rPr>
          <w:rFonts w:hAnsi="ＭＳ 明朝"/>
          <w:szCs w:val="24"/>
        </w:rPr>
      </w:pPr>
      <w:r w:rsidRPr="00B92E37">
        <w:rPr>
          <w:rFonts w:hAnsi="ＭＳ 明朝" w:hint="eastAsia"/>
          <w:snapToGrid w:val="0"/>
          <w:szCs w:val="24"/>
        </w:rPr>
        <w:t>資産維持費及び</w:t>
      </w:r>
      <w:r>
        <w:rPr>
          <w:rFonts w:hAnsi="ＭＳ 明朝" w:hint="eastAsia"/>
          <w:snapToGrid w:val="0"/>
          <w:szCs w:val="24"/>
        </w:rPr>
        <w:t>減債</w:t>
      </w:r>
      <w:r w:rsidRPr="00B92E37">
        <w:rPr>
          <w:rFonts w:hAnsi="ＭＳ 明朝" w:hint="eastAsia"/>
          <w:snapToGrid w:val="0"/>
          <w:szCs w:val="24"/>
        </w:rPr>
        <w:t>積立金等の組み入れにより、</w:t>
      </w:r>
      <w:r w:rsidRPr="00A859A2">
        <w:rPr>
          <w:rFonts w:hAnsi="ＭＳ 明朝" w:hint="eastAsia"/>
          <w:snapToGrid w:val="0"/>
          <w:szCs w:val="24"/>
        </w:rPr>
        <w:t>自己資本金が</w:t>
      </w:r>
      <w:r>
        <w:rPr>
          <w:rFonts w:hAnsi="ＭＳ 明朝" w:hint="eastAsia"/>
          <w:snapToGrid w:val="0"/>
          <w:szCs w:val="24"/>
        </w:rPr>
        <w:t>204,902</w:t>
      </w:r>
      <w:r w:rsidRPr="00A859A2">
        <w:rPr>
          <w:rFonts w:hAnsi="ＭＳ 明朝" w:hint="eastAsia"/>
          <w:snapToGrid w:val="0"/>
          <w:szCs w:val="24"/>
        </w:rPr>
        <w:t>千円(</w:t>
      </w:r>
      <w:r>
        <w:rPr>
          <w:rFonts w:hAnsi="ＭＳ 明朝" w:hint="eastAsia"/>
          <w:snapToGrid w:val="0"/>
          <w:szCs w:val="24"/>
        </w:rPr>
        <w:t>4.0</w:t>
      </w:r>
      <w:r w:rsidRPr="00A859A2">
        <w:rPr>
          <w:rFonts w:hAnsi="ＭＳ 明朝" w:hint="eastAsia"/>
          <w:snapToGrid w:val="0"/>
          <w:szCs w:val="24"/>
        </w:rPr>
        <w:t>％)増加した</w:t>
      </w:r>
      <w:r w:rsidRPr="00A859A2">
        <w:rPr>
          <w:rFonts w:hAnsi="ＭＳ 明朝" w:hint="eastAsia"/>
          <w:szCs w:val="24"/>
        </w:rPr>
        <w:t>ことによるものである。</w:t>
      </w:r>
    </w:p>
    <w:p w:rsidR="00E51B98" w:rsidRPr="00994BA2" w:rsidRDefault="00E51B98" w:rsidP="00E51B98">
      <w:pPr>
        <w:adjustRightInd w:val="0"/>
        <w:snapToGrid w:val="0"/>
        <w:spacing w:line="362" w:lineRule="exact"/>
        <w:ind w:right="1020"/>
        <w:rPr>
          <w:rFonts w:hAnsi="ＭＳ 明朝"/>
          <w:szCs w:val="24"/>
        </w:rPr>
      </w:pPr>
    </w:p>
    <w:p w:rsidR="00E51B98" w:rsidRPr="00A859A2" w:rsidRDefault="00E51B98" w:rsidP="00E51B98">
      <w:pPr>
        <w:adjustRightInd w:val="0"/>
        <w:snapToGrid w:val="0"/>
        <w:spacing w:line="362" w:lineRule="exact"/>
        <w:ind w:right="1020" w:firstLineChars="200" w:firstLine="438"/>
        <w:rPr>
          <w:rFonts w:hAnsi="ＭＳ 明朝"/>
          <w:szCs w:val="24"/>
        </w:rPr>
      </w:pPr>
      <w:r w:rsidRPr="00A859A2">
        <w:rPr>
          <w:rFonts w:hAnsi="ＭＳ 明朝" w:hint="eastAsia"/>
          <w:szCs w:val="24"/>
        </w:rPr>
        <w:t>エ</w:t>
      </w:r>
      <w:r>
        <w:rPr>
          <w:rFonts w:hAnsi="ＭＳ 明朝" w:hint="eastAsia"/>
          <w:szCs w:val="24"/>
        </w:rPr>
        <w:t xml:space="preserve">　</w:t>
      </w:r>
      <w:r>
        <w:rPr>
          <w:rFonts w:hAnsi="ＭＳ 明朝" w:hint="eastAsia"/>
          <w:kern w:val="0"/>
          <w:szCs w:val="24"/>
        </w:rPr>
        <w:t>剰余</w:t>
      </w:r>
      <w:r w:rsidRPr="00A859A2">
        <w:rPr>
          <w:rFonts w:hAnsi="ＭＳ 明朝" w:hint="eastAsia"/>
          <w:kern w:val="0"/>
          <w:szCs w:val="24"/>
        </w:rPr>
        <w:t>金</w:t>
      </w:r>
    </w:p>
    <w:p w:rsidR="00E51B98" w:rsidRPr="00E9064B" w:rsidRDefault="00E51B98" w:rsidP="00E51B98">
      <w:pPr>
        <w:tabs>
          <w:tab w:val="left" w:pos="10541"/>
        </w:tabs>
        <w:adjustRightInd w:val="0"/>
        <w:snapToGrid w:val="0"/>
        <w:spacing w:line="362" w:lineRule="exact"/>
        <w:ind w:right="-3" w:firstLineChars="371" w:firstLine="857"/>
        <w:jc w:val="left"/>
        <w:rPr>
          <w:rFonts w:hAnsi="ＭＳ 明朝"/>
          <w:snapToGrid w:val="0"/>
          <w:spacing w:val="6"/>
          <w:szCs w:val="24"/>
        </w:rPr>
      </w:pPr>
      <w:r w:rsidRPr="00E9064B">
        <w:rPr>
          <w:rFonts w:hAnsi="ＭＳ 明朝" w:hint="eastAsia"/>
          <w:snapToGrid w:val="0"/>
          <w:spacing w:val="6"/>
          <w:szCs w:val="24"/>
        </w:rPr>
        <w:t>剰余金は12,590,818千円で、前年度に比べ353,029千円(2.9％)増加している。</w:t>
      </w:r>
    </w:p>
    <w:p w:rsidR="00E51B98" w:rsidRPr="00E9064B" w:rsidRDefault="00E51B98" w:rsidP="00E51B98">
      <w:pPr>
        <w:tabs>
          <w:tab w:val="left" w:pos="0"/>
          <w:tab w:val="left" w:pos="10541"/>
        </w:tabs>
        <w:adjustRightInd w:val="0"/>
        <w:snapToGrid w:val="0"/>
        <w:spacing w:line="362" w:lineRule="exact"/>
        <w:ind w:leftChars="300" w:left="657" w:right="-3" w:firstLineChars="87" w:firstLine="201"/>
        <w:jc w:val="left"/>
        <w:rPr>
          <w:rFonts w:hAnsi="ＭＳ 明朝"/>
          <w:snapToGrid w:val="0"/>
          <w:spacing w:val="6"/>
          <w:szCs w:val="24"/>
        </w:rPr>
      </w:pPr>
      <w:r w:rsidRPr="00E9064B">
        <w:rPr>
          <w:rFonts w:hAnsi="ＭＳ 明朝" w:hint="eastAsia"/>
          <w:snapToGrid w:val="0"/>
          <w:spacing w:val="6"/>
          <w:szCs w:val="24"/>
        </w:rPr>
        <w:t>このうち資本剰余金が12,365,607千円で､前年度に比べ358,348千円（3.0</w:t>
      </w:r>
      <w:r>
        <w:rPr>
          <w:rFonts w:hAnsi="ＭＳ 明朝" w:hint="eastAsia"/>
          <w:snapToGrid w:val="0"/>
          <w:spacing w:val="6"/>
          <w:szCs w:val="24"/>
        </w:rPr>
        <w:t>％</w:t>
      </w:r>
      <w:r>
        <w:rPr>
          <w:rFonts w:hAnsi="ＭＳ 明朝"/>
          <w:snapToGrid w:val="0"/>
          <w:spacing w:val="6"/>
          <w:szCs w:val="24"/>
        </w:rPr>
        <w:t>）</w:t>
      </w:r>
      <w:r w:rsidRPr="00E9064B">
        <w:rPr>
          <w:rFonts w:hAnsi="ＭＳ 明朝" w:hint="eastAsia"/>
          <w:snapToGrid w:val="0"/>
          <w:spacing w:val="6"/>
          <w:szCs w:val="24"/>
        </w:rPr>
        <w:t>増加している。</w:t>
      </w:r>
    </w:p>
    <w:p w:rsidR="00E51B98" w:rsidRPr="00E9064B" w:rsidRDefault="00E51B98" w:rsidP="00E51B98">
      <w:pPr>
        <w:tabs>
          <w:tab w:val="left" w:pos="10541"/>
        </w:tabs>
        <w:adjustRightInd w:val="0"/>
        <w:snapToGrid w:val="0"/>
        <w:spacing w:line="362" w:lineRule="exact"/>
        <w:ind w:leftChars="300" w:left="657" w:right="-1" w:firstLineChars="79" w:firstLine="176"/>
        <w:jc w:val="left"/>
        <w:rPr>
          <w:rFonts w:hAnsi="ＭＳ 明朝"/>
          <w:snapToGrid w:val="0"/>
          <w:spacing w:val="2"/>
          <w:szCs w:val="24"/>
        </w:rPr>
      </w:pPr>
      <w:r w:rsidRPr="00E9064B">
        <w:rPr>
          <w:rFonts w:hAnsi="ＭＳ 明朝" w:hint="eastAsia"/>
          <w:snapToGrid w:val="0"/>
          <w:spacing w:val="2"/>
          <w:szCs w:val="24"/>
        </w:rPr>
        <w:t>これは主に、補助金が105,104千円(7.6％)及び工事負担金が229,504千円(2.4％)とそれぞれ増加したことによるものである。</w:t>
      </w:r>
    </w:p>
    <w:p w:rsidR="00E51B98" w:rsidRPr="00E9064B" w:rsidRDefault="00E51B98" w:rsidP="00E51B98">
      <w:pPr>
        <w:tabs>
          <w:tab w:val="left" w:pos="9356"/>
        </w:tabs>
        <w:adjustRightInd w:val="0"/>
        <w:snapToGrid w:val="0"/>
        <w:spacing w:line="362" w:lineRule="exact"/>
        <w:ind w:leftChars="138" w:left="302" w:right="-6" w:firstLineChars="241" w:firstLine="557"/>
        <w:jc w:val="left"/>
        <w:rPr>
          <w:rFonts w:hAnsi="ＭＳ 明朝"/>
          <w:snapToGrid w:val="0"/>
          <w:spacing w:val="6"/>
          <w:szCs w:val="24"/>
        </w:rPr>
      </w:pPr>
      <w:r w:rsidRPr="00E9064B">
        <w:rPr>
          <w:rFonts w:hAnsi="ＭＳ 明朝" w:hint="eastAsia"/>
          <w:snapToGrid w:val="0"/>
          <w:spacing w:val="6"/>
          <w:szCs w:val="24"/>
        </w:rPr>
        <w:t>また、利益剰余金は225,211千円となっている。</w:t>
      </w:r>
    </w:p>
    <w:p w:rsidR="00E51B98" w:rsidRPr="007E54F3" w:rsidRDefault="00E51B98" w:rsidP="00E51B98">
      <w:pPr>
        <w:kinsoku w:val="0"/>
        <w:overflowPunct w:val="0"/>
        <w:snapToGrid w:val="0"/>
        <w:spacing w:line="340" w:lineRule="exact"/>
        <w:ind w:rightChars="110" w:right="241" w:firstLineChars="300" w:firstLine="657"/>
        <w:rPr>
          <w:rFonts w:hAnsi="ＭＳ 明朝"/>
          <w:szCs w:val="24"/>
        </w:rPr>
      </w:pPr>
    </w:p>
    <w:p w:rsidR="00E51B98" w:rsidRDefault="00E51B98" w:rsidP="00E51B98">
      <w:pPr>
        <w:kinsoku w:val="0"/>
        <w:overflowPunct w:val="0"/>
        <w:snapToGrid w:val="0"/>
        <w:spacing w:line="340" w:lineRule="exact"/>
        <w:ind w:rightChars="110" w:right="241" w:firstLineChars="300" w:firstLine="657"/>
        <w:rPr>
          <w:rFonts w:hAnsi="ＭＳ 明朝"/>
          <w:szCs w:val="24"/>
        </w:rPr>
      </w:pPr>
    </w:p>
    <w:p w:rsidR="00E51B98" w:rsidRDefault="00E51B98" w:rsidP="00E51B98">
      <w:pPr>
        <w:kinsoku w:val="0"/>
        <w:overflowPunct w:val="0"/>
        <w:snapToGrid w:val="0"/>
        <w:spacing w:line="340" w:lineRule="exact"/>
        <w:ind w:rightChars="110" w:right="241" w:firstLineChars="300" w:firstLine="657"/>
        <w:rPr>
          <w:rFonts w:hAnsi="ＭＳ 明朝"/>
          <w:szCs w:val="24"/>
        </w:rPr>
      </w:pPr>
    </w:p>
    <w:p w:rsidR="00435B0E" w:rsidRPr="00E51B98" w:rsidRDefault="00435B0E" w:rsidP="004C3DD0">
      <w:pPr>
        <w:jc w:val="left"/>
        <w:rPr>
          <w:sz w:val="22"/>
        </w:rPr>
      </w:pPr>
    </w:p>
    <w:p w:rsidR="00711543" w:rsidRPr="003F7D36" w:rsidRDefault="00711543" w:rsidP="004C3DD0">
      <w:pPr>
        <w:jc w:val="left"/>
        <w:rPr>
          <w:sz w:val="22"/>
        </w:rPr>
      </w:pPr>
    </w:p>
    <w:p w:rsidR="00711543" w:rsidRPr="003F7D36" w:rsidRDefault="00711543" w:rsidP="004C3DD0">
      <w:pPr>
        <w:jc w:val="left"/>
        <w:rPr>
          <w:sz w:val="22"/>
        </w:rPr>
      </w:pPr>
    </w:p>
    <w:p w:rsidR="00711543" w:rsidRPr="003F7D36" w:rsidRDefault="00711543" w:rsidP="004C3DD0">
      <w:pPr>
        <w:jc w:val="left"/>
        <w:rPr>
          <w:sz w:val="22"/>
        </w:rPr>
      </w:pPr>
    </w:p>
    <w:p w:rsidR="0035704A" w:rsidRDefault="0035704A" w:rsidP="004C3DD0">
      <w:pPr>
        <w:jc w:val="left"/>
        <w:rPr>
          <w:sz w:val="22"/>
        </w:rPr>
      </w:pPr>
    </w:p>
    <w:p w:rsidR="0035704A" w:rsidRDefault="0035704A"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E51B98" w:rsidRDefault="00E51B98" w:rsidP="0035704A">
      <w:pPr>
        <w:ind w:left="1"/>
        <w:rPr>
          <w:sz w:val="22"/>
        </w:rPr>
      </w:pPr>
    </w:p>
    <w:p w:rsidR="00A45700" w:rsidRDefault="00A45700" w:rsidP="007F033E">
      <w:pPr>
        <w:kinsoku w:val="0"/>
        <w:overflowPunct w:val="0"/>
        <w:snapToGrid w:val="0"/>
        <w:spacing w:line="362" w:lineRule="exact"/>
        <w:jc w:val="left"/>
        <w:rPr>
          <w:rFonts w:ascii="ＭＳ ゴシック" w:eastAsia="ＭＳ ゴシック" w:hAnsi="ＭＳ ゴシック"/>
          <w:szCs w:val="24"/>
        </w:rPr>
      </w:pPr>
      <w:r w:rsidRPr="00550D4B">
        <w:rPr>
          <w:rFonts w:ascii="ＭＳ ゴシック" w:eastAsia="ＭＳ ゴシック" w:hAnsi="ＭＳ ゴシック" w:hint="eastAsia"/>
          <w:szCs w:val="24"/>
        </w:rPr>
        <w:lastRenderedPageBreak/>
        <w:t>５　経営分析</w:t>
      </w:r>
    </w:p>
    <w:p w:rsidR="00A45700" w:rsidRPr="00550D4B" w:rsidRDefault="00A45700" w:rsidP="007F033E">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9"/>
        <w:gridCol w:w="1282"/>
        <w:gridCol w:w="426"/>
        <w:gridCol w:w="992"/>
        <w:gridCol w:w="850"/>
        <w:gridCol w:w="851"/>
        <w:gridCol w:w="992"/>
        <w:gridCol w:w="284"/>
        <w:gridCol w:w="236"/>
        <w:gridCol w:w="2457"/>
        <w:gridCol w:w="142"/>
        <w:gridCol w:w="141"/>
        <w:gridCol w:w="142"/>
        <w:gridCol w:w="567"/>
      </w:tblGrid>
      <w:tr w:rsidR="00A45700" w:rsidRPr="005724A0" w:rsidTr="00A45700">
        <w:trPr>
          <w:trHeight w:val="825"/>
        </w:trPr>
        <w:tc>
          <w:tcPr>
            <w:tcW w:w="2127" w:type="dxa"/>
            <w:gridSpan w:val="3"/>
            <w:vAlign w:val="center"/>
          </w:tcPr>
          <w:p w:rsidR="00A45700" w:rsidRPr="00343707" w:rsidRDefault="00A45700" w:rsidP="005724A0">
            <w:pPr>
              <w:kinsoku w:val="0"/>
              <w:overflowPunct w:val="0"/>
              <w:snapToGrid w:val="0"/>
              <w:spacing w:line="362" w:lineRule="exact"/>
              <w:jc w:val="center"/>
              <w:rPr>
                <w:rFonts w:hAnsi="ＭＳ 明朝"/>
                <w:sz w:val="20"/>
                <w:szCs w:val="20"/>
              </w:rPr>
            </w:pPr>
            <w:r w:rsidRPr="00343707">
              <w:rPr>
                <w:rFonts w:hAnsi="ＭＳ 明朝" w:hint="eastAsia"/>
                <w:sz w:val="20"/>
                <w:szCs w:val="20"/>
              </w:rPr>
              <w:t>分　析　項　目</w:t>
            </w:r>
          </w:p>
        </w:tc>
        <w:tc>
          <w:tcPr>
            <w:tcW w:w="992" w:type="dxa"/>
            <w:vAlign w:val="center"/>
          </w:tcPr>
          <w:p w:rsidR="00A45700" w:rsidRPr="00343707"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23</w:t>
            </w:r>
            <w:r w:rsidRPr="00343707">
              <w:rPr>
                <w:rFonts w:hAnsi="ＭＳ 明朝" w:hint="eastAsia"/>
                <w:sz w:val="20"/>
                <w:szCs w:val="20"/>
              </w:rPr>
              <w:t>年度</w:t>
            </w:r>
          </w:p>
        </w:tc>
        <w:tc>
          <w:tcPr>
            <w:tcW w:w="850" w:type="dxa"/>
            <w:vAlign w:val="center"/>
          </w:tcPr>
          <w:p w:rsidR="00A45700" w:rsidRPr="00343707"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24</w:t>
            </w:r>
            <w:r w:rsidRPr="00343707">
              <w:rPr>
                <w:rFonts w:hAnsi="ＭＳ 明朝" w:hint="eastAsia"/>
                <w:sz w:val="20"/>
                <w:szCs w:val="20"/>
              </w:rPr>
              <w:t>年度</w:t>
            </w:r>
          </w:p>
        </w:tc>
        <w:tc>
          <w:tcPr>
            <w:tcW w:w="851" w:type="dxa"/>
            <w:vAlign w:val="center"/>
          </w:tcPr>
          <w:p w:rsidR="00A45700" w:rsidRPr="00343707"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25</w:t>
            </w:r>
            <w:r w:rsidRPr="00343707">
              <w:rPr>
                <w:rFonts w:hAnsi="ＭＳ 明朝" w:hint="eastAsia"/>
                <w:sz w:val="20"/>
                <w:szCs w:val="20"/>
              </w:rPr>
              <w:t>年度</w:t>
            </w:r>
          </w:p>
        </w:tc>
        <w:tc>
          <w:tcPr>
            <w:tcW w:w="992" w:type="dxa"/>
            <w:vAlign w:val="center"/>
          </w:tcPr>
          <w:p w:rsidR="00A45700" w:rsidRPr="00343707"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24</w:t>
            </w:r>
            <w:r w:rsidRPr="00343707">
              <w:rPr>
                <w:rFonts w:hAnsi="ＭＳ 明朝" w:hint="eastAsia"/>
                <w:sz w:val="20"/>
                <w:szCs w:val="20"/>
              </w:rPr>
              <w:t>年度</w:t>
            </w:r>
          </w:p>
          <w:p w:rsidR="00A45700" w:rsidRPr="00343707" w:rsidRDefault="00A45700" w:rsidP="005724A0">
            <w:pPr>
              <w:kinsoku w:val="0"/>
              <w:overflowPunct w:val="0"/>
              <w:snapToGrid w:val="0"/>
              <w:spacing w:line="362" w:lineRule="exact"/>
              <w:jc w:val="center"/>
              <w:rPr>
                <w:rFonts w:hAnsi="ＭＳ 明朝"/>
                <w:sz w:val="20"/>
                <w:szCs w:val="20"/>
              </w:rPr>
            </w:pPr>
            <w:r w:rsidRPr="00343707">
              <w:rPr>
                <w:rFonts w:hAnsi="ＭＳ 明朝" w:hint="eastAsia"/>
                <w:sz w:val="20"/>
                <w:szCs w:val="20"/>
              </w:rPr>
              <w:t>全国平均</w:t>
            </w:r>
          </w:p>
        </w:tc>
        <w:tc>
          <w:tcPr>
            <w:tcW w:w="3969" w:type="dxa"/>
            <w:gridSpan w:val="7"/>
            <w:vAlign w:val="center"/>
          </w:tcPr>
          <w:p w:rsidR="00A45700" w:rsidRPr="00D914CB" w:rsidRDefault="00A45700" w:rsidP="005724A0">
            <w:pPr>
              <w:kinsoku w:val="0"/>
              <w:overflowPunct w:val="0"/>
              <w:snapToGrid w:val="0"/>
              <w:spacing w:line="362" w:lineRule="exact"/>
              <w:jc w:val="center"/>
              <w:rPr>
                <w:rFonts w:hAnsi="ＭＳ 明朝"/>
                <w:sz w:val="22"/>
              </w:rPr>
            </w:pPr>
            <w:r w:rsidRPr="00D914CB">
              <w:rPr>
                <w:rFonts w:hAnsi="ＭＳ 明朝" w:hint="eastAsia"/>
                <w:sz w:val="22"/>
              </w:rPr>
              <w:t>算　　　　　式</w:t>
            </w:r>
          </w:p>
        </w:tc>
      </w:tr>
      <w:tr w:rsidR="00A45700" w:rsidRPr="005724A0" w:rsidTr="00A45700">
        <w:trPr>
          <w:trHeight w:val="381"/>
        </w:trPr>
        <w:tc>
          <w:tcPr>
            <w:tcW w:w="419" w:type="dxa"/>
            <w:vMerge w:val="restart"/>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r w:rsidRPr="00343707">
              <w:rPr>
                <w:rFonts w:hAnsi="ＭＳ 明朝" w:hint="eastAsia"/>
                <w:sz w:val="20"/>
                <w:szCs w:val="20"/>
              </w:rPr>
              <w:t>構　成　比　率</w:t>
            </w: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固定資産</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構成比率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91.7</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91.8</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92.1</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89.1</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34"/>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固定資産＋流動資産＋繰延勘定</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0"/>
                <w:szCs w:val="20"/>
              </w:rPr>
            </w:pPr>
          </w:p>
        </w:tc>
      </w:tr>
      <w:tr w:rsidR="00A45700" w:rsidRPr="005724A0" w:rsidTr="00A45700">
        <w:trPr>
          <w:trHeight w:val="421"/>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固定負債</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構成比率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31.3</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29.9</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29.1</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31.0</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固定負債＋借入資本金</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05"/>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0"/>
                <w:szCs w:val="20"/>
              </w:rPr>
            </w:pPr>
          </w:p>
        </w:tc>
      </w:tr>
      <w:tr w:rsidR="00A45700" w:rsidRPr="005724A0" w:rsidTr="00A45700">
        <w:trPr>
          <w:trHeight w:val="418"/>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自己資本</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構成比率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67.1</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68.3</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69.5</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67.1</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03"/>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負債・資本合計</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0"/>
                <w:szCs w:val="20"/>
              </w:rPr>
            </w:pPr>
          </w:p>
        </w:tc>
      </w:tr>
      <w:tr w:rsidR="00A45700" w:rsidRPr="005724A0" w:rsidTr="00A45700">
        <w:trPr>
          <w:trHeight w:val="417"/>
        </w:trPr>
        <w:tc>
          <w:tcPr>
            <w:tcW w:w="419" w:type="dxa"/>
            <w:vMerge w:val="restart"/>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r w:rsidRPr="00343707">
              <w:rPr>
                <w:rFonts w:hAnsi="ＭＳ 明朝" w:hint="eastAsia"/>
                <w:sz w:val="20"/>
                <w:szCs w:val="20"/>
              </w:rPr>
              <w:t>財　務　比　率</w:t>
            </w: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固定比率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136.7</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134.4</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132.4</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132.7</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399"/>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自己資本金＋剰余金</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0"/>
                <w:szCs w:val="20"/>
              </w:rPr>
            </w:pPr>
          </w:p>
        </w:tc>
      </w:tr>
      <w:tr w:rsidR="00A45700" w:rsidRPr="005724A0" w:rsidTr="00A45700">
        <w:trPr>
          <w:trHeight w:val="401"/>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固定資産対</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長期資本比率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93.2</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93.5</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93.3</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90.7</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固　定　資　産</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26"/>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資本金＋剰余金＋固定負債</w:t>
            </w:r>
          </w:p>
        </w:tc>
        <w:tc>
          <w:tcPr>
            <w:tcW w:w="709" w:type="dxa"/>
            <w:gridSpan w:val="2"/>
            <w:vMerge/>
            <w:tcBorders>
              <w:left w:val="nil"/>
            </w:tcBorders>
            <w:vAlign w:val="center"/>
          </w:tcPr>
          <w:p w:rsidR="00A45700" w:rsidRPr="00D914CB" w:rsidRDefault="00A45700" w:rsidP="005724A0">
            <w:pPr>
              <w:kinsoku w:val="0"/>
              <w:overflowPunct w:val="0"/>
              <w:snapToGrid w:val="0"/>
              <w:rPr>
                <w:rFonts w:hAnsi="ＭＳ 明朝"/>
                <w:sz w:val="20"/>
                <w:szCs w:val="20"/>
              </w:rPr>
            </w:pPr>
          </w:p>
        </w:tc>
      </w:tr>
      <w:tr w:rsidR="00A45700" w:rsidRPr="005724A0" w:rsidTr="00A45700">
        <w:trPr>
          <w:trHeight w:val="414"/>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流動比率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526.1</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437.6</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584.4</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590.5</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資</w:t>
            </w:r>
            <w:r>
              <w:rPr>
                <w:rFonts w:hAnsi="ＭＳ 明朝" w:hint="eastAsia"/>
                <w:sz w:val="20"/>
                <w:szCs w:val="20"/>
              </w:rPr>
              <w:t xml:space="preserve">　</w:t>
            </w:r>
            <w:r w:rsidRPr="00343707">
              <w:rPr>
                <w:rFonts w:hAnsi="ＭＳ 明朝" w:hint="eastAsia"/>
                <w:sz w:val="20"/>
                <w:szCs w:val="20"/>
              </w:rPr>
              <w:t>産</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11"/>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流</w:t>
            </w:r>
            <w:r>
              <w:rPr>
                <w:rFonts w:hAnsi="ＭＳ 明朝" w:hint="eastAsia"/>
                <w:sz w:val="20"/>
                <w:szCs w:val="20"/>
              </w:rPr>
              <w:t xml:space="preserve">　</w:t>
            </w:r>
            <w:r w:rsidRPr="00343707">
              <w:rPr>
                <w:rFonts w:hAnsi="ＭＳ 明朝" w:hint="eastAsia"/>
                <w:sz w:val="20"/>
                <w:szCs w:val="20"/>
              </w:rPr>
              <w:t>動</w:t>
            </w:r>
            <w:r>
              <w:rPr>
                <w:rFonts w:hAnsi="ＭＳ 明朝" w:hint="eastAsia"/>
                <w:sz w:val="20"/>
                <w:szCs w:val="20"/>
              </w:rPr>
              <w:t xml:space="preserve">　</w:t>
            </w:r>
            <w:r w:rsidRPr="00343707">
              <w:rPr>
                <w:rFonts w:hAnsi="ＭＳ 明朝" w:hint="eastAsia"/>
                <w:sz w:val="20"/>
                <w:szCs w:val="20"/>
              </w:rPr>
              <w:t>負</w:t>
            </w:r>
            <w:r>
              <w:rPr>
                <w:rFonts w:hAnsi="ＭＳ 明朝" w:hint="eastAsia"/>
                <w:sz w:val="20"/>
                <w:szCs w:val="20"/>
              </w:rPr>
              <w:t xml:space="preserve">　</w:t>
            </w:r>
            <w:r w:rsidRPr="00343707">
              <w:rPr>
                <w:rFonts w:hAnsi="ＭＳ 明朝" w:hint="eastAsia"/>
                <w:sz w:val="20"/>
                <w:szCs w:val="20"/>
              </w:rPr>
              <w:t>債</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340"/>
        </w:trPr>
        <w:tc>
          <w:tcPr>
            <w:tcW w:w="419"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回</w:t>
            </w:r>
            <w:r>
              <w:rPr>
                <w:rFonts w:hAnsi="ＭＳ 明朝" w:hint="eastAsia"/>
                <w:sz w:val="20"/>
                <w:szCs w:val="20"/>
              </w:rPr>
              <w:t xml:space="preserve">　　転　　</w:t>
            </w:r>
            <w:r w:rsidRPr="00343707">
              <w:rPr>
                <w:rFonts w:hAnsi="ＭＳ 明朝" w:hint="eastAsia"/>
                <w:sz w:val="20"/>
                <w:szCs w:val="20"/>
              </w:rPr>
              <w:t>率</w:t>
            </w: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自己資本</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回転率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0.2</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0.2</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0.2</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0.2</w:t>
            </w:r>
          </w:p>
        </w:tc>
        <w:tc>
          <w:tcPr>
            <w:tcW w:w="284" w:type="dxa"/>
            <w:tcBorders>
              <w:bottom w:val="nil"/>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nil"/>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9" w:type="dxa"/>
            <w:gridSpan w:val="2"/>
            <w:tcBorders>
              <w:left w:val="nil"/>
              <w:bottom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233"/>
        </w:trPr>
        <w:tc>
          <w:tcPr>
            <w:tcW w:w="419" w:type="dxa"/>
            <w:vMerge/>
            <w:textDirection w:val="tbRlV"/>
            <w:vAlign w:val="center"/>
          </w:tcPr>
          <w:p w:rsidR="00A45700" w:rsidRPr="00343707" w:rsidRDefault="00A45700" w:rsidP="00A45700">
            <w:pPr>
              <w:kinsoku w:val="0"/>
              <w:overflowPunct w:val="0"/>
              <w:snapToGrid w:val="0"/>
              <w:ind w:left="365" w:right="113"/>
              <w:jc w:val="center"/>
              <w:rPr>
                <w:rFonts w:hAnsi="ＭＳ 明朝"/>
                <w:sz w:val="20"/>
                <w:szCs w:val="20"/>
              </w:rPr>
            </w:pPr>
          </w:p>
        </w:tc>
        <w:tc>
          <w:tcPr>
            <w:tcW w:w="1282" w:type="dxa"/>
            <w:vMerge/>
          </w:tcPr>
          <w:p w:rsidR="00A45700" w:rsidRPr="00343707" w:rsidRDefault="00A45700" w:rsidP="005724A0">
            <w:pPr>
              <w:kinsoku w:val="0"/>
              <w:overflowPunct w:val="0"/>
              <w:snapToGrid w:val="0"/>
              <w:jc w:val="left"/>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18"/>
                <w:szCs w:val="18"/>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val="restart"/>
            <w:tcBorders>
              <w:top w:val="nil"/>
              <w:right w:val="nil"/>
            </w:tcBorders>
          </w:tcPr>
          <w:p w:rsidR="00A45700" w:rsidRPr="00D914CB" w:rsidRDefault="00A45700" w:rsidP="005724A0">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A45700" w:rsidRPr="00343707" w:rsidRDefault="00A44DC0" w:rsidP="005724A0">
            <w:pPr>
              <w:widowControl/>
              <w:jc w:val="left"/>
              <w:rPr>
                <w:rFonts w:hAnsi="ＭＳ 明朝"/>
                <w:sz w:val="20"/>
                <w:szCs w:val="20"/>
              </w:rPr>
            </w:pPr>
            <w:r>
              <w:rPr>
                <w:rFonts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0" type="#_x0000_t185" style="position:absolute;margin-left:1.55pt;margin-top:6.15pt;width:137.15pt;height:19.8pt;z-index:251661312;mso-position-horizontal-relative:text;mso-position-vertical-relative:text" adj="4240">
                  <v:textbox inset="5.85pt,.7pt,5.85pt,.7pt"/>
                </v:shape>
              </w:pict>
            </w:r>
          </w:p>
        </w:tc>
        <w:tc>
          <w:tcPr>
            <w:tcW w:w="2599" w:type="dxa"/>
            <w:gridSpan w:val="2"/>
            <w:tcBorders>
              <w:top w:val="single" w:sz="8" w:space="0" w:color="auto"/>
              <w:left w:val="nil"/>
              <w:bottom w:val="single" w:sz="8" w:space="0" w:color="auto"/>
              <w:right w:val="nil"/>
            </w:tcBorders>
            <w:vAlign w:val="center"/>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期首自己資本＋期末自己資本</w:t>
            </w:r>
          </w:p>
        </w:tc>
        <w:tc>
          <w:tcPr>
            <w:tcW w:w="283" w:type="dxa"/>
            <w:gridSpan w:val="2"/>
            <w:vMerge w:val="restart"/>
            <w:tcBorders>
              <w:top w:val="single" w:sz="8" w:space="0" w:color="auto"/>
              <w:left w:val="nil"/>
              <w:right w:val="nil"/>
            </w:tcBorders>
          </w:tcPr>
          <w:p w:rsidR="00A45700" w:rsidRPr="00D914CB" w:rsidRDefault="00A45700" w:rsidP="005724A0">
            <w:pPr>
              <w:kinsoku w:val="0"/>
              <w:overflowPunct w:val="0"/>
              <w:snapToGrid w:val="0"/>
              <w:jc w:val="left"/>
              <w:rPr>
                <w:rFonts w:hAnsi="ＭＳ 明朝"/>
                <w:sz w:val="22"/>
              </w:rPr>
            </w:pPr>
          </w:p>
        </w:tc>
        <w:tc>
          <w:tcPr>
            <w:tcW w:w="567" w:type="dxa"/>
            <w:vMerge w:val="restart"/>
            <w:tcBorders>
              <w:top w:val="nil"/>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271"/>
        </w:trPr>
        <w:tc>
          <w:tcPr>
            <w:tcW w:w="419" w:type="dxa"/>
            <w:vMerge/>
            <w:textDirection w:val="tbRlV"/>
            <w:vAlign w:val="center"/>
          </w:tcPr>
          <w:p w:rsidR="00A45700" w:rsidRPr="00343707" w:rsidRDefault="00A45700" w:rsidP="00A45700">
            <w:pPr>
              <w:kinsoku w:val="0"/>
              <w:overflowPunct w:val="0"/>
              <w:snapToGrid w:val="0"/>
              <w:ind w:left="365" w:right="113"/>
              <w:jc w:val="center"/>
              <w:rPr>
                <w:rFonts w:hAnsi="ＭＳ 明朝"/>
                <w:sz w:val="20"/>
                <w:szCs w:val="20"/>
              </w:rPr>
            </w:pPr>
          </w:p>
        </w:tc>
        <w:tc>
          <w:tcPr>
            <w:tcW w:w="1282" w:type="dxa"/>
            <w:vMerge/>
            <w:tcBorders>
              <w:bottom w:val="single" w:sz="4" w:space="0" w:color="auto"/>
            </w:tcBorders>
          </w:tcPr>
          <w:p w:rsidR="00A45700" w:rsidRPr="00343707" w:rsidRDefault="00A45700" w:rsidP="005724A0">
            <w:pPr>
              <w:kinsoku w:val="0"/>
              <w:overflowPunct w:val="0"/>
              <w:snapToGrid w:val="0"/>
              <w:jc w:val="left"/>
              <w:rPr>
                <w:rFonts w:hAnsi="ＭＳ 明朝"/>
                <w:sz w:val="20"/>
                <w:szCs w:val="20"/>
              </w:rPr>
            </w:pPr>
          </w:p>
        </w:tc>
        <w:tc>
          <w:tcPr>
            <w:tcW w:w="426" w:type="dxa"/>
            <w:vMerge/>
            <w:tcBorders>
              <w:bottom w:val="single" w:sz="4" w:space="0" w:color="auto"/>
            </w:tcBorders>
            <w:vAlign w:val="center"/>
          </w:tcPr>
          <w:p w:rsidR="00A45700" w:rsidRPr="00343707" w:rsidRDefault="00A45700" w:rsidP="005724A0">
            <w:pPr>
              <w:kinsoku w:val="0"/>
              <w:overflowPunct w:val="0"/>
              <w:snapToGrid w:val="0"/>
              <w:jc w:val="center"/>
              <w:rPr>
                <w:rFonts w:hAnsi="ＭＳ 明朝"/>
                <w:sz w:val="18"/>
                <w:szCs w:val="18"/>
              </w:rPr>
            </w:pPr>
          </w:p>
        </w:tc>
        <w:tc>
          <w:tcPr>
            <w:tcW w:w="992" w:type="dxa"/>
            <w:vMerge/>
            <w:tcBorders>
              <w:bottom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tcBorders>
              <w:bottom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tcBorders>
              <w:bottom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tcBorders>
              <w:bottom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bottom w:val="single" w:sz="4" w:space="0" w:color="auto"/>
              <w:right w:val="nil"/>
            </w:tcBorders>
          </w:tcPr>
          <w:p w:rsidR="00A45700" w:rsidRPr="00D914CB" w:rsidRDefault="00A45700" w:rsidP="005724A0">
            <w:pPr>
              <w:kinsoku w:val="0"/>
              <w:overflowPunct w:val="0"/>
              <w:snapToGrid w:val="0"/>
              <w:jc w:val="left"/>
              <w:rPr>
                <w:rFonts w:hAnsi="ＭＳ 明朝"/>
                <w:sz w:val="22"/>
              </w:rPr>
            </w:pPr>
          </w:p>
        </w:tc>
        <w:tc>
          <w:tcPr>
            <w:tcW w:w="236" w:type="dxa"/>
            <w:vMerge/>
            <w:tcBorders>
              <w:left w:val="nil"/>
              <w:bottom w:val="single" w:sz="4" w:space="0" w:color="auto"/>
              <w:right w:val="nil"/>
            </w:tcBorders>
          </w:tcPr>
          <w:p w:rsidR="00A45700" w:rsidRPr="00343707" w:rsidRDefault="00A45700" w:rsidP="005724A0">
            <w:pPr>
              <w:kinsoku w:val="0"/>
              <w:overflowPunct w:val="0"/>
              <w:snapToGrid w:val="0"/>
              <w:jc w:val="left"/>
              <w:rPr>
                <w:rFonts w:hAnsi="ＭＳ 明朝"/>
                <w:sz w:val="20"/>
                <w:szCs w:val="20"/>
              </w:rPr>
            </w:pPr>
          </w:p>
        </w:tc>
        <w:tc>
          <w:tcPr>
            <w:tcW w:w="2599" w:type="dxa"/>
            <w:gridSpan w:val="2"/>
            <w:tcBorders>
              <w:top w:val="single" w:sz="8" w:space="0" w:color="auto"/>
              <w:left w:val="nil"/>
              <w:bottom w:val="single" w:sz="4" w:space="0" w:color="auto"/>
              <w:right w:val="nil"/>
            </w:tcBorders>
            <w:vAlign w:val="center"/>
          </w:tcPr>
          <w:p w:rsidR="00A45700" w:rsidRPr="00343707" w:rsidRDefault="00A45700" w:rsidP="005724A0">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bottom w:val="single" w:sz="4" w:space="0" w:color="auto"/>
              <w:right w:val="nil"/>
            </w:tcBorders>
          </w:tcPr>
          <w:p w:rsidR="00A45700" w:rsidRPr="00D914CB" w:rsidRDefault="00A45700" w:rsidP="005724A0">
            <w:pPr>
              <w:widowControl/>
              <w:jc w:val="left"/>
              <w:rPr>
                <w:rFonts w:hAnsi="ＭＳ 明朝"/>
                <w:sz w:val="22"/>
              </w:rPr>
            </w:pPr>
          </w:p>
        </w:tc>
        <w:tc>
          <w:tcPr>
            <w:tcW w:w="567" w:type="dxa"/>
            <w:vMerge/>
            <w:tcBorders>
              <w:left w:val="nil"/>
              <w:bottom w:val="single" w:sz="4" w:space="0" w:color="auto"/>
            </w:tcBorders>
          </w:tcPr>
          <w:p w:rsidR="00A45700" w:rsidRPr="00D914CB" w:rsidRDefault="00A45700" w:rsidP="005724A0">
            <w:pPr>
              <w:widowControl/>
              <w:jc w:val="left"/>
              <w:rPr>
                <w:rFonts w:hAnsi="ＭＳ 明朝"/>
                <w:sz w:val="22"/>
              </w:rPr>
            </w:pPr>
          </w:p>
        </w:tc>
      </w:tr>
      <w:tr w:rsidR="00A45700" w:rsidRPr="005724A0" w:rsidTr="00A45700">
        <w:trPr>
          <w:trHeight w:val="309"/>
        </w:trPr>
        <w:tc>
          <w:tcPr>
            <w:tcW w:w="419" w:type="dxa"/>
            <w:vMerge/>
            <w:textDirection w:val="tbRlV"/>
            <w:vAlign w:val="center"/>
          </w:tcPr>
          <w:p w:rsidR="00A45700" w:rsidRPr="00343707" w:rsidRDefault="00A45700" w:rsidP="00A45700">
            <w:pPr>
              <w:kinsoku w:val="0"/>
              <w:overflowPunct w:val="0"/>
              <w:snapToGrid w:val="0"/>
              <w:ind w:left="365" w:right="113"/>
              <w:jc w:val="center"/>
              <w:rPr>
                <w:rFonts w:hAnsi="ＭＳ 明朝"/>
                <w:sz w:val="20"/>
                <w:szCs w:val="20"/>
              </w:rPr>
            </w:pPr>
          </w:p>
        </w:tc>
        <w:tc>
          <w:tcPr>
            <w:tcW w:w="1282" w:type="dxa"/>
            <w:vMerge w:val="restart"/>
            <w:tcBorders>
              <w:top w:val="single" w:sz="4" w:space="0" w:color="auto"/>
            </w:tcBorders>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流動資産</w:t>
            </w:r>
          </w:p>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回転率</w:t>
            </w:r>
          </w:p>
        </w:tc>
        <w:tc>
          <w:tcPr>
            <w:tcW w:w="426" w:type="dxa"/>
            <w:vMerge w:val="restart"/>
            <w:tcBorders>
              <w:top w:val="single" w:sz="4" w:space="0" w:color="auto"/>
            </w:tcBorders>
            <w:textDirection w:val="tbRlV"/>
            <w:vAlign w:val="center"/>
          </w:tcPr>
          <w:p w:rsidR="00A45700" w:rsidRPr="00343707" w:rsidRDefault="00A45700" w:rsidP="00A45700">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92" w:type="dxa"/>
            <w:vMerge w:val="restart"/>
            <w:tcBorders>
              <w:top w:val="single" w:sz="4" w:space="0" w:color="auto"/>
            </w:tcBorders>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1.4</w:t>
            </w:r>
          </w:p>
        </w:tc>
        <w:tc>
          <w:tcPr>
            <w:tcW w:w="850" w:type="dxa"/>
            <w:vMerge w:val="restart"/>
            <w:tcBorders>
              <w:top w:val="single" w:sz="4" w:space="0" w:color="auto"/>
            </w:tcBorders>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1.4</w:t>
            </w:r>
          </w:p>
        </w:tc>
        <w:tc>
          <w:tcPr>
            <w:tcW w:w="851" w:type="dxa"/>
            <w:vMerge w:val="restart"/>
            <w:tcBorders>
              <w:top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1.4</w:t>
            </w:r>
          </w:p>
        </w:tc>
        <w:tc>
          <w:tcPr>
            <w:tcW w:w="992" w:type="dxa"/>
            <w:vMerge w:val="restart"/>
            <w:tcBorders>
              <w:top w:val="single" w:sz="4" w:space="0" w:color="auto"/>
            </w:tcBorders>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1.0</w:t>
            </w:r>
          </w:p>
        </w:tc>
        <w:tc>
          <w:tcPr>
            <w:tcW w:w="284" w:type="dxa"/>
            <w:tcBorders>
              <w:top w:val="single" w:sz="4" w:space="0" w:color="auto"/>
              <w:bottom w:val="nil"/>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4" w:space="0" w:color="auto"/>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9" w:type="dxa"/>
            <w:gridSpan w:val="2"/>
            <w:tcBorders>
              <w:top w:val="single" w:sz="4" w:space="0" w:color="auto"/>
              <w:left w:val="nil"/>
              <w:bottom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312"/>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18"/>
                <w:szCs w:val="18"/>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val="restart"/>
            <w:tcBorders>
              <w:top w:val="nil"/>
              <w:right w:val="nil"/>
            </w:tcBorders>
          </w:tcPr>
          <w:p w:rsidR="00A45700" w:rsidRPr="00D914CB" w:rsidRDefault="00A45700" w:rsidP="005724A0">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A45700" w:rsidRPr="00343707" w:rsidRDefault="00A44DC0" w:rsidP="005724A0">
            <w:pPr>
              <w:kinsoku w:val="0"/>
              <w:overflowPunct w:val="0"/>
              <w:snapToGrid w:val="0"/>
              <w:jc w:val="left"/>
              <w:rPr>
                <w:rFonts w:hAnsi="ＭＳ 明朝"/>
                <w:sz w:val="20"/>
                <w:szCs w:val="20"/>
              </w:rPr>
            </w:pPr>
            <w:r>
              <w:rPr>
                <w:rFonts w:hAnsi="ＭＳ 明朝"/>
                <w:noProof/>
                <w:sz w:val="20"/>
                <w:szCs w:val="20"/>
              </w:rPr>
              <w:pict>
                <v:shape id="_x0000_s1031" type="#_x0000_t185" style="position:absolute;margin-left:.95pt;margin-top:7.35pt;width:139.25pt;height:19.05pt;z-index:251662336;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期首流動資産＋期末流動資産</w:t>
            </w:r>
          </w:p>
        </w:tc>
        <w:tc>
          <w:tcPr>
            <w:tcW w:w="283" w:type="dxa"/>
            <w:gridSpan w:val="2"/>
            <w:vMerge w:val="restart"/>
            <w:tcBorders>
              <w:top w:val="single" w:sz="8" w:space="0" w:color="auto"/>
              <w:left w:val="nil"/>
              <w:right w:val="nil"/>
            </w:tcBorders>
          </w:tcPr>
          <w:p w:rsidR="00A45700" w:rsidRPr="00D914CB" w:rsidRDefault="00A45700" w:rsidP="005724A0">
            <w:pPr>
              <w:kinsoku w:val="0"/>
              <w:overflowPunct w:val="0"/>
              <w:snapToGrid w:val="0"/>
              <w:jc w:val="left"/>
              <w:rPr>
                <w:rFonts w:hAnsi="ＭＳ 明朝"/>
                <w:sz w:val="22"/>
              </w:rPr>
            </w:pPr>
          </w:p>
        </w:tc>
        <w:tc>
          <w:tcPr>
            <w:tcW w:w="567" w:type="dxa"/>
            <w:vMerge w:val="restart"/>
            <w:tcBorders>
              <w:top w:val="nil"/>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313"/>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tcPr>
          <w:p w:rsidR="00A45700" w:rsidRPr="00343707" w:rsidRDefault="00A45700" w:rsidP="005724A0">
            <w:pPr>
              <w:kinsoku w:val="0"/>
              <w:overflowPunct w:val="0"/>
              <w:snapToGrid w:val="0"/>
              <w:jc w:val="left"/>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18"/>
                <w:szCs w:val="18"/>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36" w:type="dxa"/>
            <w:vMerge/>
            <w:tcBorders>
              <w:left w:val="nil"/>
              <w:right w:val="nil"/>
            </w:tcBorders>
          </w:tcPr>
          <w:p w:rsidR="00A45700" w:rsidRPr="00343707" w:rsidRDefault="00A45700" w:rsidP="005724A0">
            <w:pPr>
              <w:kinsoku w:val="0"/>
              <w:overflowPunct w:val="0"/>
              <w:snapToGrid w:val="0"/>
              <w:jc w:val="left"/>
              <w:rPr>
                <w:rFonts w:hAnsi="ＭＳ 明朝"/>
                <w:sz w:val="20"/>
                <w:szCs w:val="20"/>
              </w:rPr>
            </w:pPr>
          </w:p>
        </w:tc>
        <w:tc>
          <w:tcPr>
            <w:tcW w:w="2599" w:type="dxa"/>
            <w:gridSpan w:val="2"/>
            <w:tcBorders>
              <w:top w:val="single" w:sz="8" w:space="0" w:color="auto"/>
              <w:left w:val="nil"/>
              <w:right w:val="nil"/>
            </w:tcBorders>
            <w:vAlign w:val="center"/>
          </w:tcPr>
          <w:p w:rsidR="00A45700" w:rsidRPr="00343707" w:rsidRDefault="00A45700" w:rsidP="005724A0">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A45700" w:rsidRPr="00D914CB" w:rsidRDefault="00A45700" w:rsidP="005724A0">
            <w:pPr>
              <w:kinsoku w:val="0"/>
              <w:overflowPunct w:val="0"/>
              <w:snapToGrid w:val="0"/>
              <w:jc w:val="left"/>
              <w:rPr>
                <w:rFonts w:hAnsi="ＭＳ 明朝"/>
                <w:sz w:val="22"/>
              </w:rPr>
            </w:pPr>
          </w:p>
        </w:tc>
        <w:tc>
          <w:tcPr>
            <w:tcW w:w="567" w:type="dxa"/>
            <w:vMerge/>
            <w:tcBorders>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293"/>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restart"/>
            <w:vAlign w:val="center"/>
          </w:tcPr>
          <w:p w:rsidR="00A45700" w:rsidRPr="00343707" w:rsidRDefault="00A45700" w:rsidP="00A45700">
            <w:pPr>
              <w:kinsoku w:val="0"/>
              <w:overflowPunct w:val="0"/>
              <w:snapToGrid w:val="0"/>
              <w:jc w:val="left"/>
              <w:rPr>
                <w:rFonts w:hAnsi="ＭＳ 明朝"/>
                <w:sz w:val="20"/>
                <w:szCs w:val="20"/>
              </w:rPr>
            </w:pPr>
            <w:r w:rsidRPr="00343707">
              <w:rPr>
                <w:rFonts w:hAnsi="ＭＳ 明朝" w:hint="eastAsia"/>
                <w:sz w:val="20"/>
                <w:szCs w:val="20"/>
              </w:rPr>
              <w:t>未収金回転率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18"/>
                <w:szCs w:val="18"/>
              </w:rPr>
            </w:pPr>
            <w:r w:rsidRPr="00343707">
              <w:rPr>
                <w:rFonts w:hAnsi="ＭＳ 明朝" w:hint="eastAsia"/>
                <w:sz w:val="18"/>
                <w:szCs w:val="18"/>
              </w:rPr>
              <w:t>回転</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9.0</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8.8</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7.8</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8.1</w:t>
            </w:r>
          </w:p>
        </w:tc>
        <w:tc>
          <w:tcPr>
            <w:tcW w:w="284" w:type="dxa"/>
            <w:tcBorders>
              <w:bottom w:val="nil"/>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9" w:type="dxa"/>
            <w:gridSpan w:val="2"/>
            <w:tcBorders>
              <w:left w:val="nil"/>
              <w:bottom w:val="nil"/>
            </w:tcBorders>
          </w:tcPr>
          <w:p w:rsidR="00A45700" w:rsidRPr="00862393" w:rsidRDefault="00A45700" w:rsidP="005724A0">
            <w:pPr>
              <w:kinsoku w:val="0"/>
              <w:overflowPunct w:val="0"/>
              <w:snapToGrid w:val="0"/>
              <w:jc w:val="left"/>
              <w:rPr>
                <w:rFonts w:hAnsi="ＭＳ 明朝"/>
                <w:sz w:val="22"/>
              </w:rPr>
            </w:pPr>
          </w:p>
        </w:tc>
      </w:tr>
      <w:tr w:rsidR="00A45700" w:rsidRPr="005724A0" w:rsidTr="00A45700">
        <w:trPr>
          <w:trHeight w:val="103"/>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tcPr>
          <w:p w:rsidR="00A45700" w:rsidRPr="00343707" w:rsidRDefault="00A45700" w:rsidP="005724A0">
            <w:pPr>
              <w:kinsoku w:val="0"/>
              <w:overflowPunct w:val="0"/>
              <w:snapToGrid w:val="0"/>
              <w:jc w:val="left"/>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val="restart"/>
            <w:tcBorders>
              <w:top w:val="nil"/>
              <w:right w:val="nil"/>
            </w:tcBorders>
          </w:tcPr>
          <w:p w:rsidR="00A45700" w:rsidRPr="00D914CB" w:rsidRDefault="00A45700" w:rsidP="005724A0">
            <w:pPr>
              <w:kinsoku w:val="0"/>
              <w:overflowPunct w:val="0"/>
              <w:snapToGrid w:val="0"/>
              <w:jc w:val="left"/>
              <w:rPr>
                <w:rFonts w:hAnsi="ＭＳ 明朝"/>
                <w:sz w:val="22"/>
              </w:rPr>
            </w:pPr>
          </w:p>
        </w:tc>
        <w:tc>
          <w:tcPr>
            <w:tcW w:w="236" w:type="dxa"/>
            <w:vMerge w:val="restart"/>
            <w:tcBorders>
              <w:top w:val="single" w:sz="8" w:space="0" w:color="auto"/>
              <w:left w:val="nil"/>
              <w:right w:val="nil"/>
            </w:tcBorders>
          </w:tcPr>
          <w:p w:rsidR="00A45700" w:rsidRPr="00343707" w:rsidRDefault="00A44DC0" w:rsidP="005724A0">
            <w:pPr>
              <w:kinsoku w:val="0"/>
              <w:overflowPunct w:val="0"/>
              <w:snapToGrid w:val="0"/>
              <w:jc w:val="left"/>
              <w:rPr>
                <w:rFonts w:hAnsi="ＭＳ 明朝"/>
                <w:sz w:val="20"/>
                <w:szCs w:val="20"/>
              </w:rPr>
            </w:pPr>
            <w:r>
              <w:rPr>
                <w:rFonts w:hAnsi="ＭＳ 明朝"/>
                <w:noProof/>
                <w:sz w:val="20"/>
                <w:szCs w:val="20"/>
              </w:rPr>
              <w:pict>
                <v:shape id="_x0000_s1032" type="#_x0000_t185" style="position:absolute;margin-left:2.3pt;margin-top:5.95pt;width:137.15pt;height:20.4pt;z-index:251663360;mso-position-horizontal-relative:text;mso-position-vertical-relative:text">
                  <v:textbox inset="5.85pt,.7pt,5.85pt,.7pt"/>
                </v:shape>
              </w:pict>
            </w:r>
          </w:p>
        </w:tc>
        <w:tc>
          <w:tcPr>
            <w:tcW w:w="2599" w:type="dxa"/>
            <w:gridSpan w:val="2"/>
            <w:tcBorders>
              <w:top w:val="single" w:sz="8" w:space="0" w:color="auto"/>
              <w:left w:val="nil"/>
              <w:bottom w:val="single" w:sz="8" w:space="0" w:color="auto"/>
              <w:right w:val="nil"/>
            </w:tcBorders>
            <w:vAlign w:val="center"/>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期首未収金＋期末未収金</w:t>
            </w:r>
          </w:p>
        </w:tc>
        <w:tc>
          <w:tcPr>
            <w:tcW w:w="283" w:type="dxa"/>
            <w:gridSpan w:val="2"/>
            <w:vMerge w:val="restart"/>
            <w:tcBorders>
              <w:top w:val="single" w:sz="8" w:space="0" w:color="auto"/>
              <w:left w:val="nil"/>
              <w:right w:val="nil"/>
            </w:tcBorders>
          </w:tcPr>
          <w:p w:rsidR="00A45700" w:rsidRPr="00D914CB" w:rsidRDefault="00A45700" w:rsidP="005724A0">
            <w:pPr>
              <w:kinsoku w:val="0"/>
              <w:overflowPunct w:val="0"/>
              <w:snapToGrid w:val="0"/>
              <w:jc w:val="left"/>
              <w:rPr>
                <w:rFonts w:hAnsi="ＭＳ 明朝"/>
                <w:sz w:val="22"/>
              </w:rPr>
            </w:pPr>
          </w:p>
        </w:tc>
        <w:tc>
          <w:tcPr>
            <w:tcW w:w="567" w:type="dxa"/>
            <w:vMerge w:val="restart"/>
            <w:tcBorders>
              <w:top w:val="nil"/>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312"/>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tcPr>
          <w:p w:rsidR="00A45700" w:rsidRPr="00343707" w:rsidRDefault="00A45700" w:rsidP="005724A0">
            <w:pPr>
              <w:kinsoku w:val="0"/>
              <w:overflowPunct w:val="0"/>
              <w:snapToGrid w:val="0"/>
              <w:jc w:val="left"/>
              <w:rPr>
                <w:rFonts w:hAnsi="ＭＳ 明朝"/>
                <w:sz w:val="20"/>
                <w:szCs w:val="20"/>
              </w:rPr>
            </w:pPr>
          </w:p>
        </w:tc>
        <w:tc>
          <w:tcPr>
            <w:tcW w:w="426" w:type="dxa"/>
            <w:vMerge/>
            <w:vAlign w:val="center"/>
          </w:tcPr>
          <w:p w:rsidR="00A45700" w:rsidRPr="00343707" w:rsidRDefault="00A45700" w:rsidP="005724A0">
            <w:pPr>
              <w:kinsoku w:val="0"/>
              <w:overflowPunct w:val="0"/>
              <w:snapToGrid w:val="0"/>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36" w:type="dxa"/>
            <w:vMerge/>
            <w:tcBorders>
              <w:left w:val="nil"/>
              <w:right w:val="nil"/>
            </w:tcBorders>
          </w:tcPr>
          <w:p w:rsidR="00A45700" w:rsidRPr="00343707" w:rsidRDefault="00A45700" w:rsidP="005724A0">
            <w:pPr>
              <w:kinsoku w:val="0"/>
              <w:overflowPunct w:val="0"/>
              <w:snapToGrid w:val="0"/>
              <w:jc w:val="left"/>
              <w:rPr>
                <w:rFonts w:hAnsi="ＭＳ 明朝"/>
                <w:sz w:val="20"/>
                <w:szCs w:val="20"/>
              </w:rPr>
            </w:pPr>
          </w:p>
        </w:tc>
        <w:tc>
          <w:tcPr>
            <w:tcW w:w="2599" w:type="dxa"/>
            <w:gridSpan w:val="2"/>
            <w:tcBorders>
              <w:top w:val="single" w:sz="8" w:space="0" w:color="auto"/>
              <w:left w:val="nil"/>
              <w:right w:val="nil"/>
            </w:tcBorders>
            <w:vAlign w:val="center"/>
          </w:tcPr>
          <w:p w:rsidR="00A45700" w:rsidRPr="00343707" w:rsidRDefault="00A45700" w:rsidP="005724A0">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A45700" w:rsidRPr="00D914CB" w:rsidRDefault="00A45700" w:rsidP="005724A0">
            <w:pPr>
              <w:kinsoku w:val="0"/>
              <w:overflowPunct w:val="0"/>
              <w:snapToGrid w:val="0"/>
              <w:jc w:val="left"/>
              <w:rPr>
                <w:rFonts w:hAnsi="ＭＳ 明朝"/>
                <w:sz w:val="22"/>
              </w:rPr>
            </w:pPr>
          </w:p>
        </w:tc>
        <w:tc>
          <w:tcPr>
            <w:tcW w:w="567" w:type="dxa"/>
            <w:vMerge/>
            <w:tcBorders>
              <w:left w:val="nil"/>
            </w:tcBorders>
          </w:tcPr>
          <w:p w:rsidR="00A45700" w:rsidRPr="00D914CB" w:rsidRDefault="00A45700" w:rsidP="005724A0">
            <w:pPr>
              <w:kinsoku w:val="0"/>
              <w:overflowPunct w:val="0"/>
              <w:snapToGrid w:val="0"/>
              <w:jc w:val="left"/>
              <w:rPr>
                <w:rFonts w:hAnsi="ＭＳ 明朝"/>
                <w:sz w:val="22"/>
              </w:rPr>
            </w:pPr>
          </w:p>
        </w:tc>
      </w:tr>
      <w:tr w:rsidR="00A45700" w:rsidRPr="005724A0" w:rsidTr="00A45700">
        <w:trPr>
          <w:trHeight w:val="410"/>
        </w:trPr>
        <w:tc>
          <w:tcPr>
            <w:tcW w:w="419" w:type="dxa"/>
            <w:vMerge w:val="restart"/>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r w:rsidRPr="00343707">
              <w:rPr>
                <w:rFonts w:hAnsi="ＭＳ 明朝" w:hint="eastAsia"/>
                <w:sz w:val="20"/>
                <w:szCs w:val="20"/>
              </w:rPr>
              <w:t>収　　益　　率</w:t>
            </w: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総収支比率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102.9</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104.6</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103.3</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107.7</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総　　収　　益</w:t>
            </w:r>
          </w:p>
        </w:tc>
        <w:tc>
          <w:tcPr>
            <w:tcW w:w="709" w:type="dxa"/>
            <w:gridSpan w:val="2"/>
            <w:vMerge w:val="restart"/>
            <w:tcBorders>
              <w:left w:val="nil"/>
            </w:tcBorders>
            <w:vAlign w:val="center"/>
          </w:tcPr>
          <w:p w:rsidR="00A45700" w:rsidRPr="00D914CB" w:rsidRDefault="00A45700" w:rsidP="005724A0">
            <w:pPr>
              <w:widowControl/>
              <w:rPr>
                <w:rFonts w:hAnsi="ＭＳ 明朝"/>
                <w:sz w:val="20"/>
                <w:szCs w:val="20"/>
              </w:rPr>
            </w:pPr>
            <w:r w:rsidRPr="00D914CB">
              <w:rPr>
                <w:rFonts w:hAnsi="ＭＳ 明朝" w:hint="eastAsia"/>
                <w:sz w:val="20"/>
                <w:szCs w:val="20"/>
              </w:rPr>
              <w:t>×100</w:t>
            </w:r>
          </w:p>
        </w:tc>
      </w:tr>
      <w:tr w:rsidR="00A45700" w:rsidRPr="005724A0" w:rsidTr="00A45700">
        <w:trPr>
          <w:trHeight w:val="447"/>
        </w:trPr>
        <w:tc>
          <w:tcPr>
            <w:tcW w:w="419" w:type="dxa"/>
            <w:vMerge/>
            <w:textDirection w:val="tbRlV"/>
            <w:vAlign w:val="center"/>
          </w:tcPr>
          <w:p w:rsidR="00A45700" w:rsidRPr="00343707" w:rsidRDefault="00A45700" w:rsidP="005724A0">
            <w:pPr>
              <w:kinsoku w:val="0"/>
              <w:overflowPunct w:val="0"/>
              <w:snapToGrid w:val="0"/>
              <w:ind w:left="113" w:right="113"/>
              <w:jc w:val="center"/>
              <w:rPr>
                <w:rFonts w:hAnsi="ＭＳ 明朝"/>
                <w:sz w:val="20"/>
                <w:szCs w:val="20"/>
              </w:rPr>
            </w:pPr>
          </w:p>
        </w:tc>
        <w:tc>
          <w:tcPr>
            <w:tcW w:w="1282" w:type="dxa"/>
            <w:vMerge/>
            <w:vAlign w:val="center"/>
          </w:tcPr>
          <w:p w:rsidR="00A45700" w:rsidRPr="00343707" w:rsidRDefault="00A45700" w:rsidP="005724A0">
            <w:pPr>
              <w:kinsoku w:val="0"/>
              <w:overflowPunct w:val="0"/>
              <w:snapToGrid w:val="0"/>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総　　費　　用</w:t>
            </w:r>
          </w:p>
        </w:tc>
        <w:tc>
          <w:tcPr>
            <w:tcW w:w="709" w:type="dxa"/>
            <w:gridSpan w:val="2"/>
            <w:vMerge/>
            <w:tcBorders>
              <w:left w:val="nil"/>
            </w:tcBorders>
            <w:vAlign w:val="center"/>
          </w:tcPr>
          <w:p w:rsidR="00A45700" w:rsidRPr="00D914CB" w:rsidRDefault="00A45700" w:rsidP="005724A0">
            <w:pPr>
              <w:widowControl/>
              <w:rPr>
                <w:rFonts w:hAnsi="ＭＳ 明朝"/>
                <w:sz w:val="20"/>
                <w:szCs w:val="20"/>
              </w:rPr>
            </w:pPr>
          </w:p>
        </w:tc>
      </w:tr>
      <w:tr w:rsidR="00A45700" w:rsidRPr="005724A0" w:rsidTr="00A45700">
        <w:trPr>
          <w:trHeight w:val="379"/>
        </w:trPr>
        <w:tc>
          <w:tcPr>
            <w:tcW w:w="419" w:type="dxa"/>
            <w:vMerge/>
          </w:tcPr>
          <w:p w:rsidR="00A45700" w:rsidRPr="00343707" w:rsidRDefault="00A45700" w:rsidP="005724A0">
            <w:pPr>
              <w:kinsoku w:val="0"/>
              <w:overflowPunct w:val="0"/>
              <w:snapToGrid w:val="0"/>
              <w:jc w:val="left"/>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営業収支比率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110.2</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111.7</w:t>
            </w:r>
          </w:p>
        </w:tc>
        <w:tc>
          <w:tcPr>
            <w:tcW w:w="851" w:type="dxa"/>
            <w:vMerge w:val="restart"/>
            <w:vAlign w:val="center"/>
          </w:tcPr>
          <w:p w:rsidR="00A45700" w:rsidRPr="00343707" w:rsidRDefault="00A45700" w:rsidP="00A45700">
            <w:pPr>
              <w:kinsoku w:val="0"/>
              <w:overflowPunct w:val="0"/>
              <w:snapToGrid w:val="0"/>
              <w:jc w:val="right"/>
              <w:rPr>
                <w:rFonts w:hAnsi="ＭＳ 明朝"/>
                <w:sz w:val="20"/>
                <w:szCs w:val="20"/>
              </w:rPr>
            </w:pPr>
            <w:r>
              <w:rPr>
                <w:rFonts w:hAnsi="ＭＳ 明朝" w:hint="eastAsia"/>
                <w:sz w:val="20"/>
                <w:szCs w:val="20"/>
              </w:rPr>
              <w:t>110.0</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112.4</w:t>
            </w:r>
          </w:p>
        </w:tc>
        <w:tc>
          <w:tcPr>
            <w:tcW w:w="284" w:type="dxa"/>
            <w:vMerge w:val="restart"/>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営業収益－受託事業収益</w:t>
            </w:r>
          </w:p>
        </w:tc>
        <w:tc>
          <w:tcPr>
            <w:tcW w:w="709" w:type="dxa"/>
            <w:gridSpan w:val="2"/>
            <w:vMerge w:val="restart"/>
            <w:tcBorders>
              <w:left w:val="nil"/>
            </w:tcBorders>
            <w:vAlign w:val="center"/>
          </w:tcPr>
          <w:p w:rsidR="00A45700" w:rsidRPr="00D914CB" w:rsidRDefault="00A45700" w:rsidP="005724A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460"/>
        </w:trPr>
        <w:tc>
          <w:tcPr>
            <w:tcW w:w="419" w:type="dxa"/>
            <w:vMerge/>
          </w:tcPr>
          <w:p w:rsidR="00A45700" w:rsidRPr="00343707" w:rsidRDefault="00A45700" w:rsidP="005724A0">
            <w:pPr>
              <w:kinsoku w:val="0"/>
              <w:overflowPunct w:val="0"/>
              <w:snapToGrid w:val="0"/>
              <w:jc w:val="left"/>
              <w:rPr>
                <w:rFonts w:hAnsi="ＭＳ 明朝"/>
                <w:sz w:val="20"/>
                <w:szCs w:val="20"/>
              </w:rPr>
            </w:pPr>
          </w:p>
        </w:tc>
        <w:tc>
          <w:tcPr>
            <w:tcW w:w="1282" w:type="dxa"/>
            <w:vMerge/>
          </w:tcPr>
          <w:p w:rsidR="00A45700" w:rsidRPr="00343707" w:rsidRDefault="00A45700" w:rsidP="005724A0">
            <w:pPr>
              <w:kinsoku w:val="0"/>
              <w:overflowPunct w:val="0"/>
              <w:snapToGrid w:val="0"/>
              <w:jc w:val="left"/>
              <w:rPr>
                <w:rFonts w:hAnsi="ＭＳ 明朝"/>
                <w:sz w:val="20"/>
                <w:szCs w:val="20"/>
              </w:rPr>
            </w:pPr>
          </w:p>
        </w:tc>
        <w:tc>
          <w:tcPr>
            <w:tcW w:w="426" w:type="dxa"/>
            <w:vMerge/>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0" w:type="dxa"/>
            <w:vMerge/>
            <w:vAlign w:val="center"/>
          </w:tcPr>
          <w:p w:rsidR="00A45700" w:rsidRPr="00343707" w:rsidRDefault="00A45700" w:rsidP="005724A0">
            <w:pPr>
              <w:kinsoku w:val="0"/>
              <w:overflowPunct w:val="0"/>
              <w:snapToGrid w:val="0"/>
              <w:jc w:val="right"/>
              <w:rPr>
                <w:rFonts w:hAnsi="ＭＳ 明朝"/>
                <w:sz w:val="20"/>
                <w:szCs w:val="20"/>
              </w:rPr>
            </w:pPr>
          </w:p>
        </w:tc>
        <w:tc>
          <w:tcPr>
            <w:tcW w:w="851" w:type="dxa"/>
            <w:vMerge/>
            <w:vAlign w:val="center"/>
          </w:tcPr>
          <w:p w:rsidR="00A45700" w:rsidRPr="00343707" w:rsidRDefault="00A45700" w:rsidP="005724A0">
            <w:pPr>
              <w:kinsoku w:val="0"/>
              <w:overflowPunct w:val="0"/>
              <w:snapToGrid w:val="0"/>
              <w:jc w:val="right"/>
              <w:rPr>
                <w:rFonts w:hAnsi="ＭＳ 明朝"/>
                <w:sz w:val="20"/>
                <w:szCs w:val="20"/>
              </w:rPr>
            </w:pPr>
          </w:p>
        </w:tc>
        <w:tc>
          <w:tcPr>
            <w:tcW w:w="992" w:type="dxa"/>
            <w:vMerge/>
            <w:vAlign w:val="center"/>
          </w:tcPr>
          <w:p w:rsidR="00A45700" w:rsidRPr="00343707" w:rsidRDefault="00A45700" w:rsidP="005724A0">
            <w:pPr>
              <w:kinsoku w:val="0"/>
              <w:overflowPunct w:val="0"/>
              <w:snapToGrid w:val="0"/>
              <w:jc w:val="right"/>
              <w:rPr>
                <w:rFonts w:hAnsi="ＭＳ 明朝"/>
                <w:sz w:val="20"/>
                <w:szCs w:val="20"/>
              </w:rPr>
            </w:pPr>
          </w:p>
        </w:tc>
        <w:tc>
          <w:tcPr>
            <w:tcW w:w="284" w:type="dxa"/>
            <w:vMerge/>
            <w:tcBorders>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top w:val="single" w:sz="8" w:space="0" w:color="auto"/>
              <w:left w:val="nil"/>
              <w:right w:val="nil"/>
            </w:tcBorders>
          </w:tcPr>
          <w:p w:rsidR="00A45700" w:rsidRPr="00343707"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営業費用－受託事業費用</w:t>
            </w:r>
          </w:p>
        </w:tc>
        <w:tc>
          <w:tcPr>
            <w:tcW w:w="709" w:type="dxa"/>
            <w:gridSpan w:val="2"/>
            <w:vMerge/>
            <w:tcBorders>
              <w:left w:val="nil"/>
            </w:tcBorders>
          </w:tcPr>
          <w:p w:rsidR="00A45700" w:rsidRPr="00D914CB" w:rsidRDefault="00A45700" w:rsidP="005724A0">
            <w:pPr>
              <w:kinsoku w:val="0"/>
              <w:overflowPunct w:val="0"/>
              <w:snapToGrid w:val="0"/>
              <w:jc w:val="left"/>
              <w:rPr>
                <w:rFonts w:hAnsi="ＭＳ 明朝"/>
                <w:sz w:val="20"/>
                <w:szCs w:val="20"/>
              </w:rPr>
            </w:pPr>
          </w:p>
        </w:tc>
      </w:tr>
      <w:tr w:rsidR="00A45700" w:rsidRPr="005724A0" w:rsidTr="00A45700">
        <w:trPr>
          <w:trHeight w:val="415"/>
        </w:trPr>
        <w:tc>
          <w:tcPr>
            <w:tcW w:w="419" w:type="dxa"/>
            <w:vMerge/>
          </w:tcPr>
          <w:p w:rsidR="00A45700" w:rsidRPr="00343707" w:rsidRDefault="00A45700" w:rsidP="005724A0">
            <w:pPr>
              <w:kinsoku w:val="0"/>
              <w:overflowPunct w:val="0"/>
              <w:snapToGrid w:val="0"/>
              <w:jc w:val="left"/>
              <w:rPr>
                <w:rFonts w:hAnsi="ＭＳ 明朝"/>
                <w:sz w:val="20"/>
                <w:szCs w:val="20"/>
              </w:rPr>
            </w:pPr>
          </w:p>
        </w:tc>
        <w:tc>
          <w:tcPr>
            <w:tcW w:w="1282" w:type="dxa"/>
            <w:vMerge w:val="restart"/>
            <w:vAlign w:val="center"/>
          </w:tcPr>
          <w:p w:rsidR="00A45700" w:rsidRPr="00343707" w:rsidRDefault="00A45700" w:rsidP="005724A0">
            <w:pPr>
              <w:kinsoku w:val="0"/>
              <w:overflowPunct w:val="0"/>
              <w:snapToGrid w:val="0"/>
              <w:rPr>
                <w:rFonts w:hAnsi="ＭＳ 明朝"/>
                <w:sz w:val="20"/>
                <w:szCs w:val="20"/>
              </w:rPr>
            </w:pPr>
            <w:r w:rsidRPr="00343707">
              <w:rPr>
                <w:rFonts w:hAnsi="ＭＳ 明朝" w:hint="eastAsia"/>
                <w:sz w:val="20"/>
                <w:szCs w:val="20"/>
              </w:rPr>
              <w:t>総資本利益率</w:t>
            </w:r>
          </w:p>
        </w:tc>
        <w:tc>
          <w:tcPr>
            <w:tcW w:w="426" w:type="dxa"/>
            <w:vMerge w:val="restart"/>
            <w:textDirection w:val="tbRlV"/>
            <w:vAlign w:val="center"/>
          </w:tcPr>
          <w:p w:rsidR="00A45700" w:rsidRPr="00343707" w:rsidRDefault="00A45700" w:rsidP="00A45700">
            <w:pPr>
              <w:kinsoku w:val="0"/>
              <w:overflowPunct w:val="0"/>
              <w:snapToGrid w:val="0"/>
              <w:ind w:left="113" w:right="113"/>
              <w:jc w:val="center"/>
              <w:rPr>
                <w:rFonts w:hAnsi="ＭＳ 明朝"/>
                <w:sz w:val="20"/>
                <w:szCs w:val="20"/>
              </w:rPr>
            </w:pPr>
            <w:r w:rsidRPr="00343707">
              <w:rPr>
                <w:rFonts w:hAnsi="ＭＳ 明朝" w:hint="eastAsia"/>
                <w:sz w:val="20"/>
                <w:szCs w:val="20"/>
              </w:rPr>
              <w:t>％</w:t>
            </w:r>
          </w:p>
        </w:tc>
        <w:tc>
          <w:tcPr>
            <w:tcW w:w="992"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0.3</w:t>
            </w:r>
          </w:p>
        </w:tc>
        <w:tc>
          <w:tcPr>
            <w:tcW w:w="850" w:type="dxa"/>
            <w:vMerge w:val="restart"/>
            <w:vAlign w:val="center"/>
          </w:tcPr>
          <w:p w:rsidR="00A45700" w:rsidRPr="00343707" w:rsidRDefault="00A45700" w:rsidP="00A45700">
            <w:pPr>
              <w:kinsoku w:val="0"/>
              <w:overflowPunct w:val="0"/>
              <w:snapToGrid w:val="0"/>
              <w:jc w:val="right"/>
              <w:rPr>
                <w:rFonts w:hAnsi="ＭＳ 明朝"/>
                <w:sz w:val="20"/>
                <w:szCs w:val="20"/>
              </w:rPr>
            </w:pPr>
            <w:r w:rsidRPr="00343707">
              <w:rPr>
                <w:rFonts w:hAnsi="ＭＳ 明朝" w:hint="eastAsia"/>
                <w:sz w:val="20"/>
                <w:szCs w:val="20"/>
              </w:rPr>
              <w:t>0.5</w:t>
            </w:r>
          </w:p>
        </w:tc>
        <w:tc>
          <w:tcPr>
            <w:tcW w:w="851"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0.4</w:t>
            </w:r>
          </w:p>
        </w:tc>
        <w:tc>
          <w:tcPr>
            <w:tcW w:w="992" w:type="dxa"/>
            <w:vMerge w:val="restart"/>
            <w:vAlign w:val="center"/>
          </w:tcPr>
          <w:p w:rsidR="00A45700" w:rsidRPr="00343707" w:rsidRDefault="00A45700" w:rsidP="005724A0">
            <w:pPr>
              <w:kinsoku w:val="0"/>
              <w:overflowPunct w:val="0"/>
              <w:snapToGrid w:val="0"/>
              <w:jc w:val="right"/>
              <w:rPr>
                <w:rFonts w:hAnsi="ＭＳ 明朝"/>
                <w:sz w:val="20"/>
                <w:szCs w:val="20"/>
              </w:rPr>
            </w:pPr>
            <w:r>
              <w:rPr>
                <w:rFonts w:hAnsi="ＭＳ 明朝" w:hint="eastAsia"/>
                <w:sz w:val="20"/>
                <w:szCs w:val="20"/>
              </w:rPr>
              <w:t>0.9</w:t>
            </w:r>
          </w:p>
        </w:tc>
        <w:tc>
          <w:tcPr>
            <w:tcW w:w="284" w:type="dxa"/>
            <w:tcBorders>
              <w:bottom w:val="nil"/>
              <w:right w:val="nil"/>
            </w:tcBorders>
          </w:tcPr>
          <w:p w:rsidR="00A45700" w:rsidRPr="00D914CB" w:rsidRDefault="00A45700" w:rsidP="005724A0">
            <w:pPr>
              <w:kinsoku w:val="0"/>
              <w:overflowPunct w:val="0"/>
              <w:snapToGrid w:val="0"/>
              <w:jc w:val="left"/>
              <w:rPr>
                <w:rFonts w:hAnsi="ＭＳ 明朝"/>
                <w:sz w:val="22"/>
              </w:rPr>
            </w:pPr>
          </w:p>
        </w:tc>
        <w:tc>
          <w:tcPr>
            <w:tcW w:w="2976" w:type="dxa"/>
            <w:gridSpan w:val="4"/>
            <w:tcBorders>
              <w:left w:val="nil"/>
              <w:bottom w:val="single" w:sz="8" w:space="0" w:color="auto"/>
              <w:right w:val="nil"/>
            </w:tcBorders>
            <w:vAlign w:val="bottom"/>
          </w:tcPr>
          <w:p w:rsidR="00A45700" w:rsidRPr="00D914CB" w:rsidRDefault="00A45700" w:rsidP="00A45700">
            <w:pPr>
              <w:kinsoku w:val="0"/>
              <w:overflowPunct w:val="0"/>
              <w:snapToGrid w:val="0"/>
              <w:spacing w:line="320" w:lineRule="exact"/>
              <w:jc w:val="center"/>
              <w:rPr>
                <w:rFonts w:hAnsi="ＭＳ 明朝"/>
                <w:sz w:val="20"/>
                <w:szCs w:val="20"/>
              </w:rPr>
            </w:pPr>
            <w:r w:rsidRPr="00343707">
              <w:rPr>
                <w:rFonts w:hAnsi="ＭＳ 明朝" w:hint="eastAsia"/>
                <w:sz w:val="20"/>
                <w:szCs w:val="20"/>
              </w:rPr>
              <w:t>当年度純利益（損失）</w:t>
            </w:r>
          </w:p>
        </w:tc>
        <w:tc>
          <w:tcPr>
            <w:tcW w:w="709" w:type="dxa"/>
            <w:gridSpan w:val="2"/>
            <w:vMerge w:val="restart"/>
            <w:tcBorders>
              <w:left w:val="nil"/>
            </w:tcBorders>
          </w:tcPr>
          <w:p w:rsidR="00A45700" w:rsidRDefault="00A45700" w:rsidP="00A45700">
            <w:pPr>
              <w:kinsoku w:val="0"/>
              <w:overflowPunct w:val="0"/>
              <w:snapToGrid w:val="0"/>
              <w:rPr>
                <w:rFonts w:hAnsi="ＭＳ 明朝"/>
                <w:sz w:val="20"/>
                <w:szCs w:val="20"/>
              </w:rPr>
            </w:pPr>
          </w:p>
          <w:p w:rsidR="00A45700" w:rsidRPr="00D914CB" w:rsidRDefault="00A45700" w:rsidP="00A45700">
            <w:pPr>
              <w:kinsoku w:val="0"/>
              <w:overflowPunct w:val="0"/>
              <w:snapToGrid w:val="0"/>
              <w:rPr>
                <w:rFonts w:hAnsi="ＭＳ 明朝"/>
                <w:sz w:val="20"/>
                <w:szCs w:val="20"/>
              </w:rPr>
            </w:pPr>
            <w:r w:rsidRPr="00D914CB">
              <w:rPr>
                <w:rFonts w:hAnsi="ＭＳ 明朝" w:hint="eastAsia"/>
                <w:sz w:val="20"/>
                <w:szCs w:val="20"/>
              </w:rPr>
              <w:t>×100</w:t>
            </w:r>
          </w:p>
        </w:tc>
      </w:tr>
      <w:tr w:rsidR="00A45700" w:rsidRPr="005724A0" w:rsidTr="00A45700">
        <w:trPr>
          <w:trHeight w:val="207"/>
        </w:trPr>
        <w:tc>
          <w:tcPr>
            <w:tcW w:w="419" w:type="dxa"/>
            <w:vMerge/>
          </w:tcPr>
          <w:p w:rsidR="00A45700" w:rsidRPr="005724A0" w:rsidRDefault="00A45700" w:rsidP="005724A0">
            <w:pPr>
              <w:kinsoku w:val="0"/>
              <w:overflowPunct w:val="0"/>
              <w:snapToGrid w:val="0"/>
              <w:jc w:val="left"/>
              <w:rPr>
                <w:rFonts w:hAnsi="ＭＳ 明朝"/>
                <w:sz w:val="18"/>
                <w:szCs w:val="18"/>
              </w:rPr>
            </w:pPr>
          </w:p>
        </w:tc>
        <w:tc>
          <w:tcPr>
            <w:tcW w:w="1282" w:type="dxa"/>
            <w:vMerge/>
            <w:vAlign w:val="center"/>
          </w:tcPr>
          <w:p w:rsidR="00A45700" w:rsidRPr="005724A0" w:rsidRDefault="00A45700" w:rsidP="005724A0">
            <w:pPr>
              <w:kinsoku w:val="0"/>
              <w:overflowPunct w:val="0"/>
              <w:snapToGrid w:val="0"/>
              <w:rPr>
                <w:rFonts w:hAnsi="ＭＳ 明朝"/>
                <w:sz w:val="18"/>
                <w:szCs w:val="18"/>
              </w:rPr>
            </w:pPr>
          </w:p>
        </w:tc>
        <w:tc>
          <w:tcPr>
            <w:tcW w:w="426" w:type="dxa"/>
            <w:vMerge/>
            <w:vAlign w:val="center"/>
          </w:tcPr>
          <w:p w:rsidR="00A45700" w:rsidRPr="005724A0" w:rsidRDefault="00A45700" w:rsidP="005724A0">
            <w:pPr>
              <w:kinsoku w:val="0"/>
              <w:overflowPunct w:val="0"/>
              <w:snapToGrid w:val="0"/>
              <w:jc w:val="center"/>
              <w:rPr>
                <w:rFonts w:hAnsi="ＭＳ 明朝"/>
                <w:sz w:val="18"/>
                <w:szCs w:val="18"/>
              </w:rPr>
            </w:pPr>
          </w:p>
        </w:tc>
        <w:tc>
          <w:tcPr>
            <w:tcW w:w="992" w:type="dxa"/>
            <w:vMerge/>
            <w:vAlign w:val="center"/>
          </w:tcPr>
          <w:p w:rsidR="00A45700" w:rsidRPr="005724A0" w:rsidRDefault="00A45700" w:rsidP="005724A0">
            <w:pPr>
              <w:kinsoku w:val="0"/>
              <w:overflowPunct w:val="0"/>
              <w:snapToGrid w:val="0"/>
              <w:jc w:val="right"/>
              <w:rPr>
                <w:rFonts w:hAnsi="ＭＳ 明朝"/>
                <w:sz w:val="18"/>
                <w:szCs w:val="18"/>
              </w:rPr>
            </w:pPr>
          </w:p>
        </w:tc>
        <w:tc>
          <w:tcPr>
            <w:tcW w:w="850" w:type="dxa"/>
            <w:vMerge/>
            <w:vAlign w:val="center"/>
          </w:tcPr>
          <w:p w:rsidR="00A45700" w:rsidRPr="005724A0" w:rsidRDefault="00A45700" w:rsidP="005724A0">
            <w:pPr>
              <w:kinsoku w:val="0"/>
              <w:overflowPunct w:val="0"/>
              <w:snapToGrid w:val="0"/>
              <w:jc w:val="right"/>
              <w:rPr>
                <w:rFonts w:hAnsi="ＭＳ 明朝"/>
                <w:sz w:val="18"/>
                <w:szCs w:val="18"/>
              </w:rPr>
            </w:pPr>
          </w:p>
        </w:tc>
        <w:tc>
          <w:tcPr>
            <w:tcW w:w="851" w:type="dxa"/>
            <w:vMerge/>
            <w:vAlign w:val="center"/>
          </w:tcPr>
          <w:p w:rsidR="00A45700" w:rsidRPr="005724A0" w:rsidRDefault="00A45700" w:rsidP="005724A0">
            <w:pPr>
              <w:kinsoku w:val="0"/>
              <w:overflowPunct w:val="0"/>
              <w:snapToGrid w:val="0"/>
              <w:jc w:val="right"/>
              <w:rPr>
                <w:rFonts w:hAnsi="ＭＳ 明朝"/>
                <w:sz w:val="18"/>
                <w:szCs w:val="18"/>
              </w:rPr>
            </w:pPr>
          </w:p>
        </w:tc>
        <w:tc>
          <w:tcPr>
            <w:tcW w:w="992" w:type="dxa"/>
            <w:vMerge/>
            <w:vAlign w:val="center"/>
          </w:tcPr>
          <w:p w:rsidR="00A45700" w:rsidRPr="005724A0" w:rsidRDefault="00A45700" w:rsidP="005724A0">
            <w:pPr>
              <w:kinsoku w:val="0"/>
              <w:overflowPunct w:val="0"/>
              <w:snapToGrid w:val="0"/>
              <w:jc w:val="right"/>
              <w:rPr>
                <w:rFonts w:hAnsi="ＭＳ 明朝"/>
                <w:sz w:val="18"/>
                <w:szCs w:val="18"/>
              </w:rPr>
            </w:pPr>
          </w:p>
        </w:tc>
        <w:tc>
          <w:tcPr>
            <w:tcW w:w="284" w:type="dxa"/>
            <w:vMerge w:val="restart"/>
            <w:tcBorders>
              <w:top w:val="nil"/>
              <w:right w:val="nil"/>
            </w:tcBorders>
          </w:tcPr>
          <w:p w:rsidR="00A45700" w:rsidRPr="005724A0" w:rsidRDefault="00A45700" w:rsidP="005724A0">
            <w:pPr>
              <w:kinsoku w:val="0"/>
              <w:overflowPunct w:val="0"/>
              <w:snapToGrid w:val="0"/>
              <w:jc w:val="left"/>
              <w:rPr>
                <w:rFonts w:hAnsi="ＭＳ 明朝"/>
                <w:sz w:val="18"/>
                <w:szCs w:val="18"/>
              </w:rPr>
            </w:pPr>
          </w:p>
        </w:tc>
        <w:tc>
          <w:tcPr>
            <w:tcW w:w="236" w:type="dxa"/>
            <w:vMerge w:val="restart"/>
            <w:tcBorders>
              <w:top w:val="single" w:sz="8" w:space="0" w:color="auto"/>
              <w:left w:val="nil"/>
              <w:right w:val="nil"/>
            </w:tcBorders>
          </w:tcPr>
          <w:p w:rsidR="00A45700" w:rsidRPr="00343707" w:rsidRDefault="00A44DC0" w:rsidP="005724A0">
            <w:pPr>
              <w:kinsoku w:val="0"/>
              <w:overflowPunct w:val="0"/>
              <w:snapToGrid w:val="0"/>
              <w:jc w:val="left"/>
              <w:rPr>
                <w:rFonts w:hAnsi="ＭＳ 明朝"/>
                <w:sz w:val="20"/>
                <w:szCs w:val="20"/>
              </w:rPr>
            </w:pPr>
            <w:r>
              <w:rPr>
                <w:rFonts w:hAnsi="ＭＳ 明朝"/>
                <w:noProof/>
                <w:sz w:val="20"/>
                <w:szCs w:val="20"/>
              </w:rPr>
              <w:pict>
                <v:shape id="_x0000_s1029" type="#_x0000_t185" style="position:absolute;margin-left:.95pt;margin-top:5.5pt;width:132.4pt;height:22.6pt;z-index:251660288;mso-position-horizontal-relative:text;mso-position-vertical-relative:text">
                  <v:textbox inset="5.85pt,.7pt,5.85pt,.7pt"/>
                </v:shape>
              </w:pict>
            </w:r>
          </w:p>
        </w:tc>
        <w:tc>
          <w:tcPr>
            <w:tcW w:w="2457" w:type="dxa"/>
            <w:tcBorders>
              <w:top w:val="single" w:sz="8" w:space="0" w:color="auto"/>
              <w:left w:val="nil"/>
              <w:bottom w:val="single" w:sz="8" w:space="0" w:color="auto"/>
              <w:right w:val="nil"/>
            </w:tcBorders>
            <w:vAlign w:val="center"/>
          </w:tcPr>
          <w:p w:rsidR="00A45700" w:rsidRPr="00343707" w:rsidRDefault="00A45700" w:rsidP="005724A0">
            <w:pPr>
              <w:kinsoku w:val="0"/>
              <w:overflowPunct w:val="0"/>
              <w:snapToGrid w:val="0"/>
              <w:spacing w:line="320" w:lineRule="exact"/>
              <w:jc w:val="center"/>
              <w:rPr>
                <w:rFonts w:hAnsi="ＭＳ 明朝"/>
                <w:sz w:val="20"/>
                <w:szCs w:val="20"/>
              </w:rPr>
            </w:pPr>
            <w:r w:rsidRPr="00343707">
              <w:rPr>
                <w:rFonts w:hAnsi="ＭＳ 明朝" w:hint="eastAsia"/>
                <w:sz w:val="20"/>
                <w:szCs w:val="20"/>
              </w:rPr>
              <w:t>期首総資本＋期末総資本</w:t>
            </w:r>
          </w:p>
        </w:tc>
        <w:tc>
          <w:tcPr>
            <w:tcW w:w="283" w:type="dxa"/>
            <w:gridSpan w:val="2"/>
            <w:vMerge w:val="restart"/>
            <w:tcBorders>
              <w:top w:val="single" w:sz="8" w:space="0" w:color="auto"/>
              <w:left w:val="nil"/>
              <w:right w:val="nil"/>
            </w:tcBorders>
          </w:tcPr>
          <w:p w:rsidR="00A45700" w:rsidRPr="005724A0" w:rsidRDefault="00A45700" w:rsidP="005724A0">
            <w:pPr>
              <w:kinsoku w:val="0"/>
              <w:overflowPunct w:val="0"/>
              <w:snapToGrid w:val="0"/>
              <w:jc w:val="left"/>
              <w:rPr>
                <w:rFonts w:hAnsi="ＭＳ 明朝"/>
                <w:sz w:val="18"/>
                <w:szCs w:val="18"/>
              </w:rPr>
            </w:pPr>
          </w:p>
        </w:tc>
        <w:tc>
          <w:tcPr>
            <w:tcW w:w="709" w:type="dxa"/>
            <w:gridSpan w:val="2"/>
            <w:vMerge/>
            <w:tcBorders>
              <w:left w:val="nil"/>
            </w:tcBorders>
          </w:tcPr>
          <w:p w:rsidR="00A45700" w:rsidRPr="005724A0" w:rsidRDefault="00A45700" w:rsidP="005724A0">
            <w:pPr>
              <w:kinsoku w:val="0"/>
              <w:overflowPunct w:val="0"/>
              <w:snapToGrid w:val="0"/>
              <w:jc w:val="left"/>
              <w:rPr>
                <w:rFonts w:hAnsi="ＭＳ 明朝"/>
                <w:sz w:val="18"/>
                <w:szCs w:val="18"/>
              </w:rPr>
            </w:pPr>
          </w:p>
        </w:tc>
      </w:tr>
      <w:tr w:rsidR="00A45700" w:rsidRPr="005724A0" w:rsidTr="00A45700">
        <w:trPr>
          <w:trHeight w:val="60"/>
        </w:trPr>
        <w:tc>
          <w:tcPr>
            <w:tcW w:w="419" w:type="dxa"/>
            <w:vMerge/>
          </w:tcPr>
          <w:p w:rsidR="00A45700" w:rsidRPr="005724A0" w:rsidRDefault="00A45700" w:rsidP="005724A0">
            <w:pPr>
              <w:kinsoku w:val="0"/>
              <w:overflowPunct w:val="0"/>
              <w:snapToGrid w:val="0"/>
              <w:jc w:val="left"/>
              <w:rPr>
                <w:rFonts w:hAnsi="ＭＳ 明朝"/>
                <w:sz w:val="18"/>
                <w:szCs w:val="18"/>
              </w:rPr>
            </w:pPr>
          </w:p>
        </w:tc>
        <w:tc>
          <w:tcPr>
            <w:tcW w:w="1282" w:type="dxa"/>
            <w:vMerge/>
            <w:vAlign w:val="center"/>
          </w:tcPr>
          <w:p w:rsidR="00A45700" w:rsidRPr="005724A0" w:rsidRDefault="00A45700" w:rsidP="005724A0">
            <w:pPr>
              <w:kinsoku w:val="0"/>
              <w:overflowPunct w:val="0"/>
              <w:snapToGrid w:val="0"/>
              <w:rPr>
                <w:rFonts w:hAnsi="ＭＳ 明朝"/>
                <w:sz w:val="18"/>
                <w:szCs w:val="18"/>
              </w:rPr>
            </w:pPr>
          </w:p>
        </w:tc>
        <w:tc>
          <w:tcPr>
            <w:tcW w:w="426" w:type="dxa"/>
            <w:vMerge/>
            <w:vAlign w:val="center"/>
          </w:tcPr>
          <w:p w:rsidR="00A45700" w:rsidRPr="005724A0" w:rsidRDefault="00A45700" w:rsidP="005724A0">
            <w:pPr>
              <w:kinsoku w:val="0"/>
              <w:overflowPunct w:val="0"/>
              <w:snapToGrid w:val="0"/>
              <w:jc w:val="center"/>
              <w:rPr>
                <w:rFonts w:hAnsi="ＭＳ 明朝"/>
                <w:sz w:val="18"/>
                <w:szCs w:val="18"/>
              </w:rPr>
            </w:pPr>
          </w:p>
        </w:tc>
        <w:tc>
          <w:tcPr>
            <w:tcW w:w="992" w:type="dxa"/>
            <w:vMerge/>
            <w:vAlign w:val="center"/>
          </w:tcPr>
          <w:p w:rsidR="00A45700" w:rsidRPr="005724A0" w:rsidRDefault="00A45700" w:rsidP="005724A0">
            <w:pPr>
              <w:kinsoku w:val="0"/>
              <w:overflowPunct w:val="0"/>
              <w:snapToGrid w:val="0"/>
              <w:jc w:val="right"/>
              <w:rPr>
                <w:rFonts w:hAnsi="ＭＳ 明朝"/>
                <w:sz w:val="18"/>
                <w:szCs w:val="18"/>
              </w:rPr>
            </w:pPr>
          </w:p>
        </w:tc>
        <w:tc>
          <w:tcPr>
            <w:tcW w:w="850" w:type="dxa"/>
            <w:vMerge/>
            <w:vAlign w:val="center"/>
          </w:tcPr>
          <w:p w:rsidR="00A45700" w:rsidRPr="005724A0" w:rsidRDefault="00A45700" w:rsidP="005724A0">
            <w:pPr>
              <w:kinsoku w:val="0"/>
              <w:overflowPunct w:val="0"/>
              <w:snapToGrid w:val="0"/>
              <w:jc w:val="right"/>
              <w:rPr>
                <w:rFonts w:hAnsi="ＭＳ 明朝"/>
                <w:sz w:val="18"/>
                <w:szCs w:val="18"/>
              </w:rPr>
            </w:pPr>
          </w:p>
        </w:tc>
        <w:tc>
          <w:tcPr>
            <w:tcW w:w="851" w:type="dxa"/>
            <w:vMerge/>
            <w:vAlign w:val="center"/>
          </w:tcPr>
          <w:p w:rsidR="00A45700" w:rsidRPr="005724A0" w:rsidRDefault="00A45700" w:rsidP="005724A0">
            <w:pPr>
              <w:kinsoku w:val="0"/>
              <w:overflowPunct w:val="0"/>
              <w:snapToGrid w:val="0"/>
              <w:jc w:val="right"/>
              <w:rPr>
                <w:rFonts w:hAnsi="ＭＳ 明朝"/>
                <w:sz w:val="18"/>
                <w:szCs w:val="18"/>
              </w:rPr>
            </w:pPr>
          </w:p>
        </w:tc>
        <w:tc>
          <w:tcPr>
            <w:tcW w:w="992" w:type="dxa"/>
            <w:vMerge/>
            <w:vAlign w:val="center"/>
          </w:tcPr>
          <w:p w:rsidR="00A45700" w:rsidRPr="005724A0" w:rsidRDefault="00A45700" w:rsidP="005724A0">
            <w:pPr>
              <w:kinsoku w:val="0"/>
              <w:overflowPunct w:val="0"/>
              <w:snapToGrid w:val="0"/>
              <w:jc w:val="right"/>
              <w:rPr>
                <w:rFonts w:hAnsi="ＭＳ 明朝"/>
                <w:sz w:val="18"/>
                <w:szCs w:val="18"/>
              </w:rPr>
            </w:pPr>
          </w:p>
        </w:tc>
        <w:tc>
          <w:tcPr>
            <w:tcW w:w="284" w:type="dxa"/>
            <w:vMerge/>
            <w:tcBorders>
              <w:right w:val="nil"/>
            </w:tcBorders>
          </w:tcPr>
          <w:p w:rsidR="00A45700" w:rsidRPr="005724A0" w:rsidRDefault="00A45700" w:rsidP="005724A0">
            <w:pPr>
              <w:kinsoku w:val="0"/>
              <w:overflowPunct w:val="0"/>
              <w:snapToGrid w:val="0"/>
              <w:jc w:val="left"/>
              <w:rPr>
                <w:rFonts w:hAnsi="ＭＳ 明朝"/>
                <w:sz w:val="18"/>
                <w:szCs w:val="18"/>
              </w:rPr>
            </w:pPr>
          </w:p>
        </w:tc>
        <w:tc>
          <w:tcPr>
            <w:tcW w:w="236" w:type="dxa"/>
            <w:vMerge/>
            <w:tcBorders>
              <w:left w:val="nil"/>
              <w:right w:val="nil"/>
            </w:tcBorders>
          </w:tcPr>
          <w:p w:rsidR="00A45700" w:rsidRPr="00343707" w:rsidRDefault="00A45700" w:rsidP="005724A0">
            <w:pPr>
              <w:kinsoku w:val="0"/>
              <w:overflowPunct w:val="0"/>
              <w:snapToGrid w:val="0"/>
              <w:jc w:val="left"/>
              <w:rPr>
                <w:rFonts w:hAnsi="ＭＳ 明朝"/>
                <w:sz w:val="20"/>
                <w:szCs w:val="20"/>
              </w:rPr>
            </w:pPr>
          </w:p>
        </w:tc>
        <w:tc>
          <w:tcPr>
            <w:tcW w:w="2457" w:type="dxa"/>
            <w:tcBorders>
              <w:top w:val="single" w:sz="8" w:space="0" w:color="auto"/>
              <w:left w:val="nil"/>
              <w:right w:val="nil"/>
            </w:tcBorders>
            <w:vAlign w:val="center"/>
          </w:tcPr>
          <w:p w:rsidR="00A45700" w:rsidRPr="00343707" w:rsidRDefault="00A45700" w:rsidP="005724A0">
            <w:pPr>
              <w:kinsoku w:val="0"/>
              <w:overflowPunct w:val="0"/>
              <w:snapToGrid w:val="0"/>
              <w:jc w:val="center"/>
              <w:rPr>
                <w:rFonts w:hAnsi="ＭＳ 明朝"/>
                <w:sz w:val="20"/>
                <w:szCs w:val="20"/>
              </w:rPr>
            </w:pPr>
            <w:r w:rsidRPr="00343707">
              <w:rPr>
                <w:rFonts w:hAnsi="ＭＳ 明朝" w:hint="eastAsia"/>
                <w:sz w:val="20"/>
                <w:szCs w:val="20"/>
              </w:rPr>
              <w:t>２</w:t>
            </w:r>
          </w:p>
        </w:tc>
        <w:tc>
          <w:tcPr>
            <w:tcW w:w="283" w:type="dxa"/>
            <w:gridSpan w:val="2"/>
            <w:vMerge/>
            <w:tcBorders>
              <w:left w:val="nil"/>
              <w:right w:val="nil"/>
            </w:tcBorders>
          </w:tcPr>
          <w:p w:rsidR="00A45700" w:rsidRPr="005724A0" w:rsidRDefault="00A45700" w:rsidP="005724A0">
            <w:pPr>
              <w:kinsoku w:val="0"/>
              <w:overflowPunct w:val="0"/>
              <w:snapToGrid w:val="0"/>
              <w:jc w:val="left"/>
              <w:rPr>
                <w:rFonts w:hAnsi="ＭＳ 明朝"/>
                <w:sz w:val="18"/>
                <w:szCs w:val="18"/>
              </w:rPr>
            </w:pPr>
          </w:p>
        </w:tc>
        <w:tc>
          <w:tcPr>
            <w:tcW w:w="709" w:type="dxa"/>
            <w:gridSpan w:val="2"/>
            <w:vMerge/>
            <w:tcBorders>
              <w:left w:val="nil"/>
            </w:tcBorders>
          </w:tcPr>
          <w:p w:rsidR="00A45700" w:rsidRPr="005724A0" w:rsidRDefault="00A45700" w:rsidP="005724A0">
            <w:pPr>
              <w:kinsoku w:val="0"/>
              <w:overflowPunct w:val="0"/>
              <w:snapToGrid w:val="0"/>
              <w:jc w:val="left"/>
              <w:rPr>
                <w:rFonts w:hAnsi="ＭＳ 明朝"/>
                <w:sz w:val="18"/>
                <w:szCs w:val="18"/>
              </w:rPr>
            </w:pPr>
          </w:p>
        </w:tc>
      </w:tr>
    </w:tbl>
    <w:p w:rsidR="00A45700" w:rsidRPr="00F752A7" w:rsidRDefault="00A45700" w:rsidP="00A45700">
      <w:pPr>
        <w:kinsoku w:val="0"/>
        <w:overflowPunct w:val="0"/>
        <w:snapToGrid w:val="0"/>
        <w:jc w:val="left"/>
        <w:rPr>
          <w:rFonts w:hAnsi="ＭＳ 明朝"/>
          <w:sz w:val="18"/>
          <w:szCs w:val="18"/>
        </w:rPr>
      </w:pPr>
      <w:r w:rsidRPr="00F752A7">
        <w:rPr>
          <w:rFonts w:hAnsi="ＭＳ 明朝" w:hint="eastAsia"/>
          <w:sz w:val="18"/>
          <w:szCs w:val="18"/>
        </w:rPr>
        <w:t xml:space="preserve">　(注)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各比率の算出方法及び計算の際に用いた基礎数値は、(財)地方財務協会刊行地方公営企業年鑑の例による。</w:t>
      </w:r>
    </w:p>
    <w:p w:rsidR="00A45700" w:rsidRPr="00F752A7" w:rsidRDefault="00A45700" w:rsidP="00A45700">
      <w:pPr>
        <w:kinsoku w:val="0"/>
        <w:overflowPunct w:val="0"/>
        <w:snapToGrid w:val="0"/>
        <w:rPr>
          <w:rFonts w:hAnsi="ＭＳ 明朝"/>
          <w:sz w:val="18"/>
          <w:szCs w:val="18"/>
        </w:rPr>
      </w:pPr>
      <w:r w:rsidRPr="00F752A7">
        <w:rPr>
          <w:rFonts w:hAnsi="ＭＳ 明朝" w:hint="eastAsia"/>
          <w:sz w:val="18"/>
          <w:szCs w:val="18"/>
        </w:rPr>
        <w:t xml:space="preserve">　　　  ２　全国平均は、(財)地方財務協会刊行「平成</w:t>
      </w:r>
      <w:r>
        <w:rPr>
          <w:rFonts w:hAnsi="ＭＳ 明朝" w:hint="eastAsia"/>
          <w:sz w:val="18"/>
          <w:szCs w:val="18"/>
        </w:rPr>
        <w:t>24</w:t>
      </w:r>
      <w:r w:rsidRPr="00F752A7">
        <w:rPr>
          <w:rFonts w:hAnsi="ＭＳ 明朝" w:hint="eastAsia"/>
          <w:sz w:val="18"/>
          <w:szCs w:val="18"/>
        </w:rPr>
        <w:t>年度地方公営企業年鑑」の数値である。</w:t>
      </w:r>
    </w:p>
    <w:p w:rsidR="00A45700" w:rsidRPr="00F752A7" w:rsidRDefault="00A45700" w:rsidP="00A45700">
      <w:pPr>
        <w:kinsoku w:val="0"/>
        <w:overflowPunct w:val="0"/>
        <w:snapToGrid w:val="0"/>
        <w:rPr>
          <w:rFonts w:hAnsi="ＭＳ 明朝"/>
          <w:sz w:val="18"/>
          <w:szCs w:val="18"/>
        </w:rPr>
      </w:pPr>
      <w:r w:rsidRPr="00F752A7">
        <w:rPr>
          <w:rFonts w:hAnsi="ＭＳ 明朝" w:hint="eastAsia"/>
          <w:sz w:val="18"/>
          <w:szCs w:val="18"/>
        </w:rPr>
        <w:t xml:space="preserve">　　　  ３　自己資本＝自己資本金＋剰余金</w:t>
      </w:r>
    </w:p>
    <w:p w:rsidR="00A45700" w:rsidRPr="00F752A7" w:rsidRDefault="00A45700" w:rsidP="00A45700">
      <w:pPr>
        <w:kinsoku w:val="0"/>
        <w:overflowPunct w:val="0"/>
        <w:snapToGrid w:val="0"/>
        <w:rPr>
          <w:rFonts w:hAnsi="ＭＳ 明朝"/>
          <w:sz w:val="18"/>
          <w:szCs w:val="18"/>
        </w:rPr>
      </w:pPr>
      <w:r w:rsidRPr="00F752A7">
        <w:rPr>
          <w:rFonts w:hAnsi="ＭＳ 明朝" w:hint="eastAsia"/>
          <w:sz w:val="18"/>
          <w:szCs w:val="18"/>
        </w:rPr>
        <w:t xml:space="preserve">　　　  ４　総資本　＝負債・資本合計</w:t>
      </w:r>
    </w:p>
    <w:p w:rsidR="00A45700" w:rsidRPr="00F752A7" w:rsidRDefault="00A45700" w:rsidP="00A45700">
      <w:pPr>
        <w:kinsoku w:val="0"/>
        <w:overflowPunct w:val="0"/>
        <w:snapToGrid w:val="0"/>
        <w:ind w:left="778" w:hangingChars="489" w:hanging="778"/>
        <w:rPr>
          <w:rFonts w:hAnsi="ＭＳ 明朝"/>
          <w:sz w:val="18"/>
          <w:szCs w:val="18"/>
        </w:rPr>
      </w:pPr>
      <w:r w:rsidRPr="00F752A7">
        <w:rPr>
          <w:rFonts w:hint="eastAsia"/>
          <w:sz w:val="18"/>
          <w:szCs w:val="18"/>
        </w:rPr>
        <w:t xml:space="preserve">　　　  </w:t>
      </w:r>
      <w:r>
        <w:rPr>
          <w:rFonts w:hAnsi="ＭＳ 明朝" w:hint="eastAsia"/>
          <w:sz w:val="18"/>
          <w:szCs w:val="18"/>
        </w:rPr>
        <w:t>５　職員給与費は、給料、手当等（児童</w:t>
      </w:r>
      <w:r w:rsidRPr="00F752A7">
        <w:rPr>
          <w:rFonts w:hAnsi="ＭＳ 明朝" w:hint="eastAsia"/>
          <w:sz w:val="18"/>
          <w:szCs w:val="18"/>
        </w:rPr>
        <w:t>手当は除く。）及び法定福利費（退職手当組合負担金は除く）の合計額である。</w:t>
      </w: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A45700">
      <w:pPr>
        <w:kinsoku w:val="0"/>
        <w:overflowPunct w:val="0"/>
        <w:snapToGrid w:val="0"/>
        <w:spacing w:line="362" w:lineRule="exact"/>
        <w:jc w:val="left"/>
        <w:rPr>
          <w:rFonts w:ascii="ＭＳ ゴシック" w:eastAsia="ＭＳ ゴシック" w:hAnsi="ＭＳ ゴシック"/>
          <w:szCs w:val="24"/>
        </w:rPr>
      </w:pPr>
    </w:p>
    <w:p w:rsidR="00A45700" w:rsidRPr="00550D4B" w:rsidRDefault="00A45700" w:rsidP="00A45700">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A45700" w:rsidRPr="005724A0" w:rsidTr="00A45700">
        <w:trPr>
          <w:cantSplit/>
          <w:trHeight w:val="825"/>
        </w:trPr>
        <w:tc>
          <w:tcPr>
            <w:tcW w:w="9781" w:type="dxa"/>
            <w:tcBorders>
              <w:bottom w:val="single" w:sz="4" w:space="0" w:color="auto"/>
            </w:tcBorders>
            <w:vAlign w:val="center"/>
          </w:tcPr>
          <w:p w:rsidR="00A45700" w:rsidRPr="005724A0" w:rsidRDefault="00A45700" w:rsidP="005724A0">
            <w:pPr>
              <w:kinsoku w:val="0"/>
              <w:overflowPunct w:val="0"/>
              <w:snapToGrid w:val="0"/>
              <w:jc w:val="center"/>
              <w:rPr>
                <w:rFonts w:hAnsi="ＭＳ 明朝"/>
                <w:sz w:val="22"/>
              </w:rPr>
            </w:pPr>
            <w:r w:rsidRPr="005724A0">
              <w:rPr>
                <w:rFonts w:hAnsi="ＭＳ 明朝" w:hint="eastAsia"/>
                <w:sz w:val="22"/>
              </w:rPr>
              <w:t>説　　　　　　　　　　　　　　　明</w:t>
            </w:r>
          </w:p>
        </w:tc>
      </w:tr>
      <w:tr w:rsidR="00A45700" w:rsidRPr="005724A0" w:rsidTr="00A45700">
        <w:trPr>
          <w:cantSplit/>
          <w:trHeight w:val="835"/>
        </w:trPr>
        <w:tc>
          <w:tcPr>
            <w:tcW w:w="9781" w:type="dxa"/>
            <w:tcBorders>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総資産の固定化の度合いを表すもので、比率の低い方が望ましい。</w:t>
            </w:r>
          </w:p>
        </w:tc>
      </w:tr>
      <w:tr w:rsidR="00A45700" w:rsidRPr="005724A0" w:rsidTr="00A45700">
        <w:trPr>
          <w:cantSplit/>
          <w:trHeight w:val="851"/>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固定負債と総資本との割合を表すもので、比率の低い方が望ましい。</w:t>
            </w:r>
          </w:p>
        </w:tc>
      </w:tr>
      <w:tr w:rsidR="00A45700" w:rsidRPr="005724A0" w:rsidTr="00A45700">
        <w:trPr>
          <w:cantSplit/>
          <w:trHeight w:val="837"/>
        </w:trPr>
        <w:tc>
          <w:tcPr>
            <w:tcW w:w="9781" w:type="dxa"/>
            <w:tcBorders>
              <w:top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総資本のうち自己資本の占める割合を示したもので、比率の高い方が望ましい。</w:t>
            </w:r>
          </w:p>
        </w:tc>
      </w:tr>
      <w:tr w:rsidR="00A45700" w:rsidRPr="005724A0" w:rsidTr="00A45700">
        <w:trPr>
          <w:cantSplit/>
          <w:trHeight w:val="842"/>
        </w:trPr>
        <w:tc>
          <w:tcPr>
            <w:tcW w:w="9781" w:type="dxa"/>
            <w:tcBorders>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固定資産と自己資本との割合で資本固定化の程度を示すものであり、100％以下であることが望ましい。</w:t>
            </w:r>
          </w:p>
        </w:tc>
      </w:tr>
      <w:tr w:rsidR="00A45700" w:rsidRPr="005724A0" w:rsidTr="00A45700">
        <w:trPr>
          <w:cantSplit/>
          <w:trHeight w:val="861"/>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固定資産と長期資本との割合で資本固定化の程度を示すものであり、100％以下であることが望ましい。</w:t>
            </w:r>
          </w:p>
        </w:tc>
      </w:tr>
      <w:tr w:rsidR="00A45700" w:rsidRPr="005724A0" w:rsidTr="00A45700">
        <w:trPr>
          <w:cantSplit/>
          <w:trHeight w:val="831"/>
        </w:trPr>
        <w:tc>
          <w:tcPr>
            <w:tcW w:w="9781" w:type="dxa"/>
            <w:tcBorders>
              <w:top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企業の支払い能力を見るもので、この比率が大きいほど支払い能力が高いとされている。</w:t>
            </w:r>
          </w:p>
        </w:tc>
      </w:tr>
      <w:tr w:rsidR="00A45700" w:rsidRPr="005724A0" w:rsidTr="00A45700">
        <w:trPr>
          <w:cantSplit/>
          <w:trHeight w:val="994"/>
        </w:trPr>
        <w:tc>
          <w:tcPr>
            <w:tcW w:w="9781" w:type="dxa"/>
            <w:tcBorders>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自己資本の働きを観察したもので、数値が大きいほど資本が効率的に使われていることを示す。</w:t>
            </w:r>
          </w:p>
        </w:tc>
      </w:tr>
      <w:tr w:rsidR="00A45700" w:rsidRPr="005724A0" w:rsidTr="00A45700">
        <w:trPr>
          <w:cantSplit/>
          <w:trHeight w:val="965"/>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流動資産の使用利用度を表すもので、数値が高いほど運用形態が良好なことを示す。</w:t>
            </w:r>
          </w:p>
        </w:tc>
      </w:tr>
      <w:tr w:rsidR="00A45700" w:rsidRPr="005724A0" w:rsidTr="00A45700">
        <w:trPr>
          <w:cantSplit/>
          <w:trHeight w:val="999"/>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未収金の回収度を測定するもので、数値が高ければ未収金の回収速度が良好なことを示す。</w:t>
            </w:r>
          </w:p>
        </w:tc>
      </w:tr>
      <w:tr w:rsidR="00A45700" w:rsidRPr="005724A0" w:rsidTr="00A45700">
        <w:trPr>
          <w:cantSplit/>
          <w:trHeight w:val="853"/>
        </w:trPr>
        <w:tc>
          <w:tcPr>
            <w:tcW w:w="9781" w:type="dxa"/>
            <w:tcBorders>
              <w:top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総収益と総費用との割合で、営業活動の能率を表すものであり、比率の高い方が望ましい。</w:t>
            </w:r>
          </w:p>
        </w:tc>
      </w:tr>
      <w:tr w:rsidR="00A45700" w:rsidRPr="005724A0" w:rsidTr="00A45700">
        <w:trPr>
          <w:cantSplit/>
          <w:trHeight w:val="846"/>
        </w:trPr>
        <w:tc>
          <w:tcPr>
            <w:tcW w:w="9781" w:type="dxa"/>
            <w:tcBorders>
              <w:bottom w:val="single" w:sz="2" w:space="0" w:color="auto"/>
            </w:tcBorders>
            <w:vAlign w:val="center"/>
          </w:tcPr>
          <w:p w:rsidR="00A45700" w:rsidRDefault="00A45700" w:rsidP="00A45700">
            <w:pPr>
              <w:kinsoku w:val="0"/>
              <w:overflowPunct w:val="0"/>
              <w:snapToGrid w:val="0"/>
              <w:ind w:firstLineChars="100" w:firstLine="199"/>
              <w:rPr>
                <w:rFonts w:hAnsi="ＭＳ 明朝"/>
                <w:sz w:val="22"/>
              </w:rPr>
            </w:pPr>
            <w:r w:rsidRPr="005724A0">
              <w:rPr>
                <w:rFonts w:hAnsi="ＭＳ 明朝" w:hint="eastAsia"/>
                <w:sz w:val="22"/>
              </w:rPr>
              <w:t>営業収益と営業費用との割合で営業活動の能率を表すものであり、この比率が高いほど経営状態が良好な</w:t>
            </w:r>
          </w:p>
          <w:p w:rsidR="00A45700" w:rsidRPr="005724A0" w:rsidRDefault="00A45700" w:rsidP="00A45700">
            <w:pPr>
              <w:kinsoku w:val="0"/>
              <w:overflowPunct w:val="0"/>
              <w:snapToGrid w:val="0"/>
              <w:ind w:firstLineChars="17" w:firstLine="34"/>
              <w:rPr>
                <w:rFonts w:hAnsi="ＭＳ 明朝"/>
                <w:sz w:val="22"/>
              </w:rPr>
            </w:pPr>
            <w:r w:rsidRPr="005724A0">
              <w:rPr>
                <w:rFonts w:hAnsi="ＭＳ 明朝" w:hint="eastAsia"/>
                <w:sz w:val="22"/>
              </w:rPr>
              <w:t>ことを示す。</w:t>
            </w:r>
          </w:p>
        </w:tc>
      </w:tr>
      <w:tr w:rsidR="00A45700" w:rsidRPr="005724A0" w:rsidTr="00A45700">
        <w:trPr>
          <w:cantSplit/>
          <w:trHeight w:val="1120"/>
        </w:trPr>
        <w:tc>
          <w:tcPr>
            <w:tcW w:w="9781" w:type="dxa"/>
            <w:tcBorders>
              <w:top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経常利益と総資本との割合で、企業全体の収益性を表すものであり、比率の高い方が望ましい。</w:t>
            </w:r>
          </w:p>
        </w:tc>
      </w:tr>
    </w:tbl>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A45700">
      <w:pPr>
        <w:kinsoku w:val="0"/>
        <w:overflowPunct w:val="0"/>
        <w:snapToGrid w:val="0"/>
        <w:spacing w:line="362" w:lineRule="exact"/>
        <w:jc w:val="left"/>
        <w:rPr>
          <w:rFonts w:ascii="ＭＳ ゴシック" w:eastAsia="ＭＳ ゴシック" w:hAnsi="ＭＳ ゴシック"/>
          <w:szCs w:val="24"/>
        </w:rPr>
      </w:pPr>
    </w:p>
    <w:p w:rsidR="00A45700" w:rsidRPr="00550D4B" w:rsidRDefault="00A45700" w:rsidP="00A45700">
      <w:pPr>
        <w:kinsoku w:val="0"/>
        <w:overflowPunct w:val="0"/>
        <w:snapToGrid w:val="0"/>
        <w:spacing w:line="362" w:lineRule="exact"/>
        <w:jc w:val="left"/>
        <w:rPr>
          <w:rFonts w:ascii="ＭＳ ゴシック" w:eastAsia="ＭＳ ゴシック" w:hAnsi="ＭＳ ゴシック"/>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701"/>
        <w:gridCol w:w="425"/>
        <w:gridCol w:w="992"/>
        <w:gridCol w:w="851"/>
        <w:gridCol w:w="850"/>
        <w:gridCol w:w="992"/>
        <w:gridCol w:w="236"/>
        <w:gridCol w:w="2599"/>
        <w:gridCol w:w="709"/>
      </w:tblGrid>
      <w:tr w:rsidR="00A45700" w:rsidRPr="00E22524" w:rsidTr="00A45700">
        <w:trPr>
          <w:trHeight w:val="825"/>
        </w:trPr>
        <w:tc>
          <w:tcPr>
            <w:tcW w:w="2552" w:type="dxa"/>
            <w:gridSpan w:val="3"/>
            <w:vAlign w:val="center"/>
          </w:tcPr>
          <w:p w:rsidR="00A45700" w:rsidRPr="00E22524" w:rsidRDefault="00A45700" w:rsidP="005724A0">
            <w:pPr>
              <w:kinsoku w:val="0"/>
              <w:overflowPunct w:val="0"/>
              <w:snapToGrid w:val="0"/>
              <w:spacing w:line="362" w:lineRule="exact"/>
              <w:jc w:val="center"/>
              <w:rPr>
                <w:rFonts w:hAnsi="ＭＳ 明朝"/>
                <w:sz w:val="20"/>
                <w:szCs w:val="20"/>
              </w:rPr>
            </w:pPr>
            <w:r w:rsidRPr="00E22524">
              <w:rPr>
                <w:rFonts w:hAnsi="ＭＳ 明朝" w:hint="eastAsia"/>
                <w:sz w:val="20"/>
                <w:szCs w:val="20"/>
              </w:rPr>
              <w:t>分　析　項　目</w:t>
            </w:r>
          </w:p>
        </w:tc>
        <w:tc>
          <w:tcPr>
            <w:tcW w:w="992" w:type="dxa"/>
            <w:vAlign w:val="center"/>
          </w:tcPr>
          <w:p w:rsidR="00A45700" w:rsidRPr="00E22524"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23</w:t>
            </w:r>
            <w:r w:rsidRPr="00E22524">
              <w:rPr>
                <w:rFonts w:hAnsi="ＭＳ 明朝" w:hint="eastAsia"/>
                <w:sz w:val="20"/>
                <w:szCs w:val="20"/>
              </w:rPr>
              <w:t>年度</w:t>
            </w:r>
          </w:p>
        </w:tc>
        <w:tc>
          <w:tcPr>
            <w:tcW w:w="851" w:type="dxa"/>
            <w:vAlign w:val="center"/>
          </w:tcPr>
          <w:p w:rsidR="00A45700" w:rsidRPr="00E22524"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24</w:t>
            </w:r>
            <w:r w:rsidRPr="00E22524">
              <w:rPr>
                <w:rFonts w:hAnsi="ＭＳ 明朝" w:hint="eastAsia"/>
                <w:sz w:val="20"/>
                <w:szCs w:val="20"/>
              </w:rPr>
              <w:t>年度</w:t>
            </w:r>
          </w:p>
        </w:tc>
        <w:tc>
          <w:tcPr>
            <w:tcW w:w="850" w:type="dxa"/>
            <w:vAlign w:val="center"/>
          </w:tcPr>
          <w:p w:rsidR="00A45700" w:rsidRPr="00E22524"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25</w:t>
            </w:r>
            <w:r w:rsidRPr="00E22524">
              <w:rPr>
                <w:rFonts w:hAnsi="ＭＳ 明朝" w:hint="eastAsia"/>
                <w:sz w:val="20"/>
                <w:szCs w:val="20"/>
              </w:rPr>
              <w:t>年度</w:t>
            </w:r>
          </w:p>
        </w:tc>
        <w:tc>
          <w:tcPr>
            <w:tcW w:w="992" w:type="dxa"/>
            <w:vAlign w:val="center"/>
          </w:tcPr>
          <w:p w:rsidR="00A45700" w:rsidRPr="00E22524" w:rsidRDefault="00A45700" w:rsidP="005724A0">
            <w:pPr>
              <w:kinsoku w:val="0"/>
              <w:overflowPunct w:val="0"/>
              <w:snapToGrid w:val="0"/>
              <w:spacing w:line="362" w:lineRule="exact"/>
              <w:jc w:val="center"/>
              <w:rPr>
                <w:rFonts w:hAnsi="ＭＳ 明朝"/>
                <w:sz w:val="20"/>
                <w:szCs w:val="20"/>
              </w:rPr>
            </w:pPr>
            <w:r>
              <w:rPr>
                <w:rFonts w:hAnsi="ＭＳ 明朝" w:hint="eastAsia"/>
                <w:sz w:val="20"/>
                <w:szCs w:val="20"/>
              </w:rPr>
              <w:t>24</w:t>
            </w:r>
            <w:r w:rsidRPr="00E22524">
              <w:rPr>
                <w:rFonts w:hAnsi="ＭＳ 明朝" w:hint="eastAsia"/>
                <w:sz w:val="20"/>
                <w:szCs w:val="20"/>
              </w:rPr>
              <w:t>年度</w:t>
            </w:r>
          </w:p>
          <w:p w:rsidR="00A45700" w:rsidRPr="00E22524" w:rsidRDefault="00A45700" w:rsidP="005724A0">
            <w:pPr>
              <w:kinsoku w:val="0"/>
              <w:overflowPunct w:val="0"/>
              <w:snapToGrid w:val="0"/>
              <w:spacing w:line="362" w:lineRule="exact"/>
              <w:jc w:val="center"/>
              <w:rPr>
                <w:rFonts w:hAnsi="ＭＳ 明朝"/>
                <w:sz w:val="20"/>
                <w:szCs w:val="20"/>
              </w:rPr>
            </w:pPr>
            <w:r w:rsidRPr="00E22524">
              <w:rPr>
                <w:rFonts w:hAnsi="ＭＳ 明朝" w:hint="eastAsia"/>
                <w:sz w:val="20"/>
                <w:szCs w:val="20"/>
              </w:rPr>
              <w:t>全国平均</w:t>
            </w:r>
          </w:p>
        </w:tc>
        <w:tc>
          <w:tcPr>
            <w:tcW w:w="3544" w:type="dxa"/>
            <w:gridSpan w:val="3"/>
            <w:vAlign w:val="center"/>
          </w:tcPr>
          <w:p w:rsidR="00A45700" w:rsidRPr="00E22524" w:rsidRDefault="00A45700" w:rsidP="005724A0">
            <w:pPr>
              <w:kinsoku w:val="0"/>
              <w:overflowPunct w:val="0"/>
              <w:snapToGrid w:val="0"/>
              <w:spacing w:line="362" w:lineRule="exact"/>
              <w:jc w:val="center"/>
              <w:rPr>
                <w:rFonts w:hAnsi="ＭＳ 明朝"/>
                <w:sz w:val="20"/>
                <w:szCs w:val="20"/>
              </w:rPr>
            </w:pPr>
            <w:r w:rsidRPr="00E22524">
              <w:rPr>
                <w:rFonts w:hAnsi="ＭＳ 明朝" w:hint="eastAsia"/>
                <w:sz w:val="20"/>
                <w:szCs w:val="20"/>
              </w:rPr>
              <w:t>算　　　　　式</w:t>
            </w:r>
          </w:p>
        </w:tc>
      </w:tr>
      <w:tr w:rsidR="00A45700" w:rsidRPr="00E22524" w:rsidTr="00A45700">
        <w:trPr>
          <w:trHeight w:val="411"/>
        </w:trPr>
        <w:tc>
          <w:tcPr>
            <w:tcW w:w="426" w:type="dxa"/>
            <w:vMerge w:val="restart"/>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r w:rsidRPr="00E22524">
              <w:rPr>
                <w:rFonts w:hAnsi="ＭＳ 明朝" w:hint="eastAsia"/>
                <w:sz w:val="20"/>
                <w:szCs w:val="20"/>
              </w:rPr>
              <w:t>そ　　　　　の　　　　　他</w:t>
            </w: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給水収益に対する職員給与費</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17.1</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16.4</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16.0</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14.2</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職　員　給　与　費</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406"/>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09" w:type="dxa"/>
            <w:vMerge/>
            <w:tcBorders>
              <w:left w:val="nil"/>
            </w:tcBorders>
          </w:tcPr>
          <w:p w:rsidR="00A45700" w:rsidRPr="00E22524" w:rsidRDefault="00A45700" w:rsidP="005724A0">
            <w:pPr>
              <w:kinsoku w:val="0"/>
              <w:overflowPunct w:val="0"/>
              <w:snapToGrid w:val="0"/>
              <w:jc w:val="left"/>
              <w:rPr>
                <w:rFonts w:hAnsi="ＭＳ 明朝"/>
                <w:sz w:val="20"/>
                <w:szCs w:val="20"/>
              </w:rPr>
            </w:pPr>
          </w:p>
        </w:tc>
      </w:tr>
      <w:tr w:rsidR="00A45700" w:rsidRPr="00E22524" w:rsidTr="00A45700">
        <w:trPr>
          <w:trHeight w:val="421"/>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給水収益に対する企業債利息</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7.0</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6.6</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6.5</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7.4</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企　業　債　利　息</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405"/>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09" w:type="dxa"/>
            <w:vMerge/>
            <w:tcBorders>
              <w:left w:val="nil"/>
            </w:tcBorders>
          </w:tcPr>
          <w:p w:rsidR="00A45700" w:rsidRPr="00E22524" w:rsidRDefault="00A45700" w:rsidP="005724A0">
            <w:pPr>
              <w:kinsoku w:val="0"/>
              <w:overflowPunct w:val="0"/>
              <w:snapToGrid w:val="0"/>
              <w:jc w:val="left"/>
              <w:rPr>
                <w:rFonts w:hAnsi="ＭＳ 明朝"/>
                <w:sz w:val="20"/>
                <w:szCs w:val="20"/>
              </w:rPr>
            </w:pPr>
          </w:p>
        </w:tc>
      </w:tr>
      <w:tr w:rsidR="00A45700" w:rsidRPr="00E22524" w:rsidTr="00A45700">
        <w:trPr>
          <w:trHeight w:val="418"/>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給水収益に対する企業債償還金</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17.2</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14.6</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13.1</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21.6</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企　業　債　償　還　金</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403"/>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給　水　収　益</w:t>
            </w:r>
          </w:p>
        </w:tc>
        <w:tc>
          <w:tcPr>
            <w:tcW w:w="709" w:type="dxa"/>
            <w:vMerge/>
            <w:tcBorders>
              <w:left w:val="nil"/>
            </w:tcBorders>
          </w:tcPr>
          <w:p w:rsidR="00A45700" w:rsidRPr="00E22524" w:rsidRDefault="00A45700" w:rsidP="005724A0">
            <w:pPr>
              <w:kinsoku w:val="0"/>
              <w:overflowPunct w:val="0"/>
              <w:snapToGrid w:val="0"/>
              <w:jc w:val="left"/>
              <w:rPr>
                <w:rFonts w:hAnsi="ＭＳ 明朝"/>
                <w:sz w:val="20"/>
                <w:szCs w:val="20"/>
              </w:rPr>
            </w:pPr>
          </w:p>
        </w:tc>
      </w:tr>
      <w:tr w:rsidR="00A45700" w:rsidRPr="00E22524" w:rsidTr="00A45700">
        <w:trPr>
          <w:trHeight w:val="417"/>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職員１人当たりの営業収益</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18"/>
                <w:szCs w:val="18"/>
              </w:rPr>
            </w:pPr>
            <w:r w:rsidRPr="00E22524">
              <w:rPr>
                <w:rFonts w:hAnsi="ＭＳ 明朝" w:hint="eastAsia"/>
                <w:sz w:val="18"/>
                <w:szCs w:val="18"/>
              </w:rPr>
              <w:t>千円</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48.464</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52,076</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50,558</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63,061</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営業収益－受託事業収益</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p>
        </w:tc>
      </w:tr>
      <w:tr w:rsidR="00A45700" w:rsidRPr="00E22524" w:rsidTr="00A45700">
        <w:trPr>
          <w:trHeight w:val="399"/>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損益勘定所属職員数</w:t>
            </w:r>
          </w:p>
        </w:tc>
        <w:tc>
          <w:tcPr>
            <w:tcW w:w="709" w:type="dxa"/>
            <w:vMerge/>
            <w:tcBorders>
              <w:left w:val="nil"/>
            </w:tcBorders>
          </w:tcPr>
          <w:p w:rsidR="00A45700" w:rsidRPr="00E22524" w:rsidRDefault="00A45700" w:rsidP="005724A0">
            <w:pPr>
              <w:kinsoku w:val="0"/>
              <w:overflowPunct w:val="0"/>
              <w:snapToGrid w:val="0"/>
              <w:jc w:val="left"/>
              <w:rPr>
                <w:rFonts w:hAnsi="ＭＳ 明朝"/>
                <w:sz w:val="20"/>
                <w:szCs w:val="20"/>
              </w:rPr>
            </w:pPr>
          </w:p>
        </w:tc>
      </w:tr>
      <w:tr w:rsidR="00A45700" w:rsidRPr="00E22524" w:rsidTr="00A45700">
        <w:trPr>
          <w:trHeight w:val="401"/>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18"/>
                <w:szCs w:val="18"/>
              </w:rPr>
            </w:pPr>
            <w:r w:rsidRPr="00E22524">
              <w:rPr>
                <w:rFonts w:hAnsi="ＭＳ 明朝" w:hint="eastAsia"/>
                <w:sz w:val="18"/>
                <w:szCs w:val="18"/>
              </w:rPr>
              <w:t>有収水量１㎥当たりに対する職員給与費</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Pr>
                <w:rFonts w:hAnsi="ＭＳ 明朝" w:hint="eastAsia"/>
                <w:sz w:val="20"/>
                <w:szCs w:val="20"/>
              </w:rPr>
              <w:t>円</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32.76</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31.31</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30.51</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23.30</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職　員　給　与　費</w:t>
            </w:r>
          </w:p>
        </w:tc>
        <w:tc>
          <w:tcPr>
            <w:tcW w:w="709" w:type="dxa"/>
            <w:vMerge w:val="restart"/>
            <w:tcBorders>
              <w:left w:val="nil"/>
            </w:tcBorders>
            <w:vAlign w:val="center"/>
          </w:tcPr>
          <w:p w:rsidR="00A45700" w:rsidRPr="00E22524" w:rsidRDefault="00A45700" w:rsidP="00A45700">
            <w:pPr>
              <w:kinsoku w:val="0"/>
              <w:overflowPunct w:val="0"/>
              <w:snapToGrid w:val="0"/>
              <w:rPr>
                <w:rFonts w:hAnsi="ＭＳ 明朝"/>
                <w:sz w:val="20"/>
                <w:szCs w:val="20"/>
              </w:rPr>
            </w:pPr>
          </w:p>
        </w:tc>
      </w:tr>
      <w:tr w:rsidR="00A45700" w:rsidRPr="00E22524" w:rsidTr="00A45700">
        <w:trPr>
          <w:trHeight w:val="426"/>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有　収　水　量</w:t>
            </w:r>
          </w:p>
        </w:tc>
        <w:tc>
          <w:tcPr>
            <w:tcW w:w="709" w:type="dxa"/>
            <w:vMerge/>
            <w:tcBorders>
              <w:left w:val="nil"/>
            </w:tcBorders>
            <w:vAlign w:val="center"/>
          </w:tcPr>
          <w:p w:rsidR="00A45700" w:rsidRPr="00E22524" w:rsidRDefault="00A45700" w:rsidP="005724A0">
            <w:pPr>
              <w:kinsoku w:val="0"/>
              <w:overflowPunct w:val="0"/>
              <w:snapToGrid w:val="0"/>
              <w:rPr>
                <w:rFonts w:hAnsi="ＭＳ 明朝"/>
                <w:sz w:val="20"/>
                <w:szCs w:val="20"/>
              </w:rPr>
            </w:pPr>
          </w:p>
        </w:tc>
      </w:tr>
      <w:tr w:rsidR="00A45700" w:rsidRPr="00E22524" w:rsidTr="00A45700">
        <w:trPr>
          <w:trHeight w:val="414"/>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負荷率</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86.9</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86.2</w:t>
            </w:r>
          </w:p>
        </w:tc>
        <w:tc>
          <w:tcPr>
            <w:tcW w:w="850" w:type="dxa"/>
            <w:vMerge w:val="restart"/>
            <w:vAlign w:val="center"/>
          </w:tcPr>
          <w:p w:rsidR="00A45700" w:rsidRPr="00E22524" w:rsidRDefault="00A45700" w:rsidP="00A45700">
            <w:pPr>
              <w:kinsoku w:val="0"/>
              <w:overflowPunct w:val="0"/>
              <w:snapToGrid w:val="0"/>
              <w:jc w:val="right"/>
              <w:rPr>
                <w:rFonts w:hAnsi="ＭＳ 明朝"/>
                <w:sz w:val="20"/>
                <w:szCs w:val="20"/>
              </w:rPr>
            </w:pPr>
            <w:r>
              <w:rPr>
                <w:rFonts w:hAnsi="ＭＳ 明朝" w:hint="eastAsia"/>
                <w:sz w:val="20"/>
                <w:szCs w:val="20"/>
              </w:rPr>
              <w:t>89.5</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88.6</w:t>
            </w:r>
          </w:p>
        </w:tc>
        <w:tc>
          <w:tcPr>
            <w:tcW w:w="236" w:type="dxa"/>
            <w:vMerge w:val="restart"/>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一日平均配水量</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411"/>
        </w:trPr>
        <w:tc>
          <w:tcPr>
            <w:tcW w:w="426" w:type="dxa"/>
            <w:vMerge/>
            <w:textDirection w:val="tbRlV"/>
            <w:vAlign w:val="center"/>
          </w:tcPr>
          <w:p w:rsidR="00A45700" w:rsidRPr="00E22524" w:rsidRDefault="00A45700" w:rsidP="005724A0">
            <w:pPr>
              <w:kinsoku w:val="0"/>
              <w:overflowPunct w:val="0"/>
              <w:snapToGrid w:val="0"/>
              <w:ind w:left="113" w:right="113"/>
              <w:jc w:val="center"/>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一日最大配水量</w:t>
            </w:r>
          </w:p>
        </w:tc>
        <w:tc>
          <w:tcPr>
            <w:tcW w:w="709" w:type="dxa"/>
            <w:vMerge/>
            <w:tcBorders>
              <w:left w:val="nil"/>
            </w:tcBorders>
          </w:tcPr>
          <w:p w:rsidR="00A45700" w:rsidRPr="00E22524" w:rsidRDefault="00A45700" w:rsidP="005724A0">
            <w:pPr>
              <w:kinsoku w:val="0"/>
              <w:overflowPunct w:val="0"/>
              <w:snapToGrid w:val="0"/>
              <w:jc w:val="left"/>
              <w:rPr>
                <w:rFonts w:hAnsi="ＭＳ 明朝"/>
                <w:sz w:val="20"/>
                <w:szCs w:val="20"/>
              </w:rPr>
            </w:pPr>
          </w:p>
        </w:tc>
      </w:tr>
      <w:tr w:rsidR="00A45700" w:rsidRPr="00E22524" w:rsidTr="00A45700">
        <w:trPr>
          <w:trHeight w:val="405"/>
        </w:trPr>
        <w:tc>
          <w:tcPr>
            <w:tcW w:w="426" w:type="dxa"/>
            <w:vMerge/>
          </w:tcPr>
          <w:p w:rsidR="00A45700" w:rsidRPr="00E22524" w:rsidRDefault="00A45700" w:rsidP="005724A0">
            <w:pPr>
              <w:kinsoku w:val="0"/>
              <w:overflowPunct w:val="0"/>
              <w:snapToGrid w:val="0"/>
              <w:spacing w:line="362" w:lineRule="exact"/>
              <w:jc w:val="left"/>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施設利用率</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60.3</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60.0</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58.8</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62.7</w:t>
            </w:r>
          </w:p>
        </w:tc>
        <w:tc>
          <w:tcPr>
            <w:tcW w:w="236" w:type="dxa"/>
            <w:vMerge w:val="restart"/>
            <w:tcBorders>
              <w:right w:val="nil"/>
            </w:tcBorders>
          </w:tcPr>
          <w:p w:rsidR="00A45700" w:rsidRPr="00E22524" w:rsidRDefault="00A45700" w:rsidP="005724A0">
            <w:pPr>
              <w:kinsoku w:val="0"/>
              <w:overflowPunct w:val="0"/>
              <w:snapToGrid w:val="0"/>
              <w:spacing w:line="362" w:lineRule="exact"/>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一日平均配水量</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420"/>
        </w:trPr>
        <w:tc>
          <w:tcPr>
            <w:tcW w:w="426" w:type="dxa"/>
            <w:vMerge/>
          </w:tcPr>
          <w:p w:rsidR="00A45700" w:rsidRPr="00E22524" w:rsidRDefault="00A45700" w:rsidP="005724A0">
            <w:pPr>
              <w:kinsoku w:val="0"/>
              <w:overflowPunct w:val="0"/>
              <w:snapToGrid w:val="0"/>
              <w:spacing w:line="362" w:lineRule="exact"/>
              <w:jc w:val="left"/>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spacing w:line="362" w:lineRule="exact"/>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一日配水能力</w:t>
            </w:r>
          </w:p>
        </w:tc>
        <w:tc>
          <w:tcPr>
            <w:tcW w:w="709" w:type="dxa"/>
            <w:vMerge/>
            <w:tcBorders>
              <w:left w:val="nil"/>
            </w:tcBorders>
            <w:vAlign w:val="center"/>
          </w:tcPr>
          <w:p w:rsidR="00A45700" w:rsidRPr="00E22524" w:rsidRDefault="00A45700" w:rsidP="005724A0">
            <w:pPr>
              <w:kinsoku w:val="0"/>
              <w:overflowPunct w:val="0"/>
              <w:snapToGrid w:val="0"/>
              <w:spacing w:line="362" w:lineRule="exact"/>
              <w:rPr>
                <w:rFonts w:hAnsi="ＭＳ 明朝"/>
                <w:sz w:val="20"/>
                <w:szCs w:val="20"/>
              </w:rPr>
            </w:pPr>
          </w:p>
        </w:tc>
      </w:tr>
      <w:tr w:rsidR="00A45700" w:rsidRPr="00E22524" w:rsidTr="00A45700">
        <w:trPr>
          <w:trHeight w:val="405"/>
        </w:trPr>
        <w:tc>
          <w:tcPr>
            <w:tcW w:w="426" w:type="dxa"/>
            <w:vMerge/>
          </w:tcPr>
          <w:p w:rsidR="00A45700" w:rsidRPr="00E22524" w:rsidRDefault="00A45700" w:rsidP="005724A0">
            <w:pPr>
              <w:kinsoku w:val="0"/>
              <w:overflowPunct w:val="0"/>
              <w:snapToGrid w:val="0"/>
              <w:spacing w:line="362" w:lineRule="exact"/>
              <w:jc w:val="left"/>
              <w:rPr>
                <w:rFonts w:hAnsi="ＭＳ 明朝"/>
                <w:sz w:val="20"/>
                <w:szCs w:val="20"/>
              </w:rPr>
            </w:pPr>
          </w:p>
        </w:tc>
        <w:tc>
          <w:tcPr>
            <w:tcW w:w="1701" w:type="dxa"/>
            <w:vMerge w:val="restart"/>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最大稼働率</w:t>
            </w:r>
          </w:p>
        </w:tc>
        <w:tc>
          <w:tcPr>
            <w:tcW w:w="425" w:type="dxa"/>
            <w:vMerge w:val="restart"/>
            <w:textDirection w:val="tbRlV"/>
            <w:vAlign w:val="center"/>
          </w:tcPr>
          <w:p w:rsidR="00A45700" w:rsidRPr="00E22524" w:rsidRDefault="00A45700" w:rsidP="00A45700">
            <w:pPr>
              <w:kinsoku w:val="0"/>
              <w:overflowPunct w:val="0"/>
              <w:snapToGrid w:val="0"/>
              <w:ind w:left="113" w:right="113"/>
              <w:jc w:val="center"/>
              <w:rPr>
                <w:rFonts w:hAnsi="ＭＳ 明朝"/>
                <w:sz w:val="20"/>
                <w:szCs w:val="20"/>
              </w:rPr>
            </w:pPr>
            <w:r w:rsidRPr="00E22524">
              <w:rPr>
                <w:rFonts w:hAnsi="ＭＳ 明朝" w:hint="eastAsia"/>
                <w:sz w:val="20"/>
                <w:szCs w:val="20"/>
              </w:rPr>
              <w:t>％</w:t>
            </w:r>
          </w:p>
        </w:tc>
        <w:tc>
          <w:tcPr>
            <w:tcW w:w="992"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69.4</w:t>
            </w:r>
          </w:p>
        </w:tc>
        <w:tc>
          <w:tcPr>
            <w:tcW w:w="851" w:type="dxa"/>
            <w:vMerge w:val="restart"/>
            <w:vAlign w:val="center"/>
          </w:tcPr>
          <w:p w:rsidR="00A45700" w:rsidRPr="00E22524" w:rsidRDefault="00A45700" w:rsidP="00A45700">
            <w:pPr>
              <w:kinsoku w:val="0"/>
              <w:overflowPunct w:val="0"/>
              <w:snapToGrid w:val="0"/>
              <w:jc w:val="right"/>
              <w:rPr>
                <w:rFonts w:hAnsi="ＭＳ 明朝"/>
                <w:sz w:val="20"/>
                <w:szCs w:val="20"/>
              </w:rPr>
            </w:pPr>
            <w:r w:rsidRPr="00E22524">
              <w:rPr>
                <w:rFonts w:hAnsi="ＭＳ 明朝" w:hint="eastAsia"/>
                <w:sz w:val="20"/>
                <w:szCs w:val="20"/>
              </w:rPr>
              <w:t>69.7</w:t>
            </w:r>
          </w:p>
        </w:tc>
        <w:tc>
          <w:tcPr>
            <w:tcW w:w="850"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65.7</w:t>
            </w:r>
          </w:p>
        </w:tc>
        <w:tc>
          <w:tcPr>
            <w:tcW w:w="992" w:type="dxa"/>
            <w:vMerge w:val="restart"/>
            <w:vAlign w:val="center"/>
          </w:tcPr>
          <w:p w:rsidR="00A45700" w:rsidRPr="00E22524" w:rsidRDefault="00A45700" w:rsidP="005724A0">
            <w:pPr>
              <w:kinsoku w:val="0"/>
              <w:overflowPunct w:val="0"/>
              <w:snapToGrid w:val="0"/>
              <w:jc w:val="right"/>
              <w:rPr>
                <w:rFonts w:hAnsi="ＭＳ 明朝"/>
                <w:sz w:val="20"/>
                <w:szCs w:val="20"/>
              </w:rPr>
            </w:pPr>
            <w:r>
              <w:rPr>
                <w:rFonts w:hAnsi="ＭＳ 明朝" w:hint="eastAsia"/>
                <w:sz w:val="20"/>
                <w:szCs w:val="20"/>
              </w:rPr>
              <w:t>70.8</w:t>
            </w:r>
          </w:p>
        </w:tc>
        <w:tc>
          <w:tcPr>
            <w:tcW w:w="236" w:type="dxa"/>
            <w:vMerge w:val="restart"/>
            <w:tcBorders>
              <w:right w:val="nil"/>
            </w:tcBorders>
          </w:tcPr>
          <w:p w:rsidR="00A45700" w:rsidRPr="00E22524" w:rsidRDefault="00A45700" w:rsidP="005724A0">
            <w:pPr>
              <w:kinsoku w:val="0"/>
              <w:overflowPunct w:val="0"/>
              <w:snapToGrid w:val="0"/>
              <w:spacing w:line="362" w:lineRule="exact"/>
              <w:jc w:val="left"/>
              <w:rPr>
                <w:rFonts w:hAnsi="ＭＳ 明朝"/>
                <w:sz w:val="20"/>
                <w:szCs w:val="20"/>
              </w:rPr>
            </w:pPr>
          </w:p>
        </w:tc>
        <w:tc>
          <w:tcPr>
            <w:tcW w:w="2599" w:type="dxa"/>
            <w:tcBorders>
              <w:left w:val="nil"/>
              <w:bottom w:val="single" w:sz="8" w:space="0" w:color="auto"/>
              <w:right w:val="nil"/>
            </w:tcBorders>
            <w:vAlign w:val="bottom"/>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一日最大配水量</w:t>
            </w:r>
          </w:p>
        </w:tc>
        <w:tc>
          <w:tcPr>
            <w:tcW w:w="709" w:type="dxa"/>
            <w:vMerge w:val="restart"/>
            <w:tcBorders>
              <w:left w:val="nil"/>
            </w:tcBorders>
            <w:vAlign w:val="center"/>
          </w:tcPr>
          <w:p w:rsidR="00A45700" w:rsidRPr="00E22524" w:rsidRDefault="00A45700" w:rsidP="005724A0">
            <w:pPr>
              <w:kinsoku w:val="0"/>
              <w:overflowPunct w:val="0"/>
              <w:snapToGrid w:val="0"/>
              <w:rPr>
                <w:rFonts w:hAnsi="ＭＳ 明朝"/>
                <w:sz w:val="20"/>
                <w:szCs w:val="20"/>
              </w:rPr>
            </w:pPr>
            <w:r w:rsidRPr="00E22524">
              <w:rPr>
                <w:rFonts w:hAnsi="ＭＳ 明朝" w:hint="eastAsia"/>
                <w:sz w:val="20"/>
                <w:szCs w:val="20"/>
              </w:rPr>
              <w:t>×100</w:t>
            </w:r>
          </w:p>
        </w:tc>
      </w:tr>
      <w:tr w:rsidR="00A45700" w:rsidRPr="00E22524" w:rsidTr="00A45700">
        <w:trPr>
          <w:trHeight w:val="535"/>
        </w:trPr>
        <w:tc>
          <w:tcPr>
            <w:tcW w:w="426" w:type="dxa"/>
            <w:vMerge/>
          </w:tcPr>
          <w:p w:rsidR="00A45700" w:rsidRPr="00E22524" w:rsidRDefault="00A45700" w:rsidP="005724A0">
            <w:pPr>
              <w:kinsoku w:val="0"/>
              <w:overflowPunct w:val="0"/>
              <w:snapToGrid w:val="0"/>
              <w:spacing w:line="362" w:lineRule="exact"/>
              <w:jc w:val="left"/>
              <w:rPr>
                <w:rFonts w:hAnsi="ＭＳ 明朝"/>
                <w:sz w:val="20"/>
                <w:szCs w:val="20"/>
              </w:rPr>
            </w:pPr>
          </w:p>
        </w:tc>
        <w:tc>
          <w:tcPr>
            <w:tcW w:w="1701" w:type="dxa"/>
            <w:vMerge/>
            <w:vAlign w:val="center"/>
          </w:tcPr>
          <w:p w:rsidR="00A45700" w:rsidRPr="00E22524" w:rsidRDefault="00A45700" w:rsidP="005724A0">
            <w:pPr>
              <w:kinsoku w:val="0"/>
              <w:overflowPunct w:val="0"/>
              <w:snapToGrid w:val="0"/>
              <w:rPr>
                <w:rFonts w:hAnsi="ＭＳ 明朝"/>
                <w:sz w:val="20"/>
                <w:szCs w:val="20"/>
              </w:rPr>
            </w:pPr>
          </w:p>
        </w:tc>
        <w:tc>
          <w:tcPr>
            <w:tcW w:w="425" w:type="dxa"/>
            <w:vMerge/>
            <w:vAlign w:val="center"/>
          </w:tcPr>
          <w:p w:rsidR="00A45700" w:rsidRPr="00E22524" w:rsidRDefault="00A45700" w:rsidP="005724A0">
            <w:pPr>
              <w:kinsoku w:val="0"/>
              <w:overflowPunct w:val="0"/>
              <w:snapToGrid w:val="0"/>
              <w:jc w:val="center"/>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1" w:type="dxa"/>
            <w:vMerge/>
            <w:vAlign w:val="center"/>
          </w:tcPr>
          <w:p w:rsidR="00A45700" w:rsidRPr="00E22524" w:rsidRDefault="00A45700" w:rsidP="005724A0">
            <w:pPr>
              <w:kinsoku w:val="0"/>
              <w:overflowPunct w:val="0"/>
              <w:snapToGrid w:val="0"/>
              <w:jc w:val="right"/>
              <w:rPr>
                <w:rFonts w:hAnsi="ＭＳ 明朝"/>
                <w:sz w:val="20"/>
                <w:szCs w:val="20"/>
              </w:rPr>
            </w:pPr>
          </w:p>
        </w:tc>
        <w:tc>
          <w:tcPr>
            <w:tcW w:w="850" w:type="dxa"/>
            <w:vMerge/>
            <w:vAlign w:val="center"/>
          </w:tcPr>
          <w:p w:rsidR="00A45700" w:rsidRPr="00E22524" w:rsidRDefault="00A45700" w:rsidP="005724A0">
            <w:pPr>
              <w:kinsoku w:val="0"/>
              <w:overflowPunct w:val="0"/>
              <w:snapToGrid w:val="0"/>
              <w:jc w:val="right"/>
              <w:rPr>
                <w:rFonts w:hAnsi="ＭＳ 明朝"/>
                <w:sz w:val="20"/>
                <w:szCs w:val="20"/>
              </w:rPr>
            </w:pPr>
          </w:p>
        </w:tc>
        <w:tc>
          <w:tcPr>
            <w:tcW w:w="992" w:type="dxa"/>
            <w:vMerge/>
            <w:vAlign w:val="center"/>
          </w:tcPr>
          <w:p w:rsidR="00A45700" w:rsidRPr="00E22524" w:rsidRDefault="00A45700" w:rsidP="005724A0">
            <w:pPr>
              <w:kinsoku w:val="0"/>
              <w:overflowPunct w:val="0"/>
              <w:snapToGrid w:val="0"/>
              <w:jc w:val="right"/>
              <w:rPr>
                <w:rFonts w:hAnsi="ＭＳ 明朝"/>
                <w:sz w:val="20"/>
                <w:szCs w:val="20"/>
              </w:rPr>
            </w:pPr>
          </w:p>
        </w:tc>
        <w:tc>
          <w:tcPr>
            <w:tcW w:w="236" w:type="dxa"/>
            <w:vMerge/>
            <w:tcBorders>
              <w:right w:val="nil"/>
            </w:tcBorders>
          </w:tcPr>
          <w:p w:rsidR="00A45700" w:rsidRPr="00E22524" w:rsidRDefault="00A45700" w:rsidP="005724A0">
            <w:pPr>
              <w:kinsoku w:val="0"/>
              <w:overflowPunct w:val="0"/>
              <w:snapToGrid w:val="0"/>
              <w:spacing w:line="362" w:lineRule="exact"/>
              <w:jc w:val="left"/>
              <w:rPr>
                <w:rFonts w:hAnsi="ＭＳ 明朝"/>
                <w:sz w:val="20"/>
                <w:szCs w:val="20"/>
              </w:rPr>
            </w:pPr>
          </w:p>
        </w:tc>
        <w:tc>
          <w:tcPr>
            <w:tcW w:w="2599" w:type="dxa"/>
            <w:tcBorders>
              <w:top w:val="single" w:sz="8" w:space="0" w:color="auto"/>
              <w:left w:val="nil"/>
              <w:right w:val="nil"/>
            </w:tcBorders>
          </w:tcPr>
          <w:p w:rsidR="00A45700" w:rsidRPr="00E22524" w:rsidRDefault="00A45700" w:rsidP="00A45700">
            <w:pPr>
              <w:kinsoku w:val="0"/>
              <w:overflowPunct w:val="0"/>
              <w:snapToGrid w:val="0"/>
              <w:spacing w:line="320" w:lineRule="exact"/>
              <w:jc w:val="center"/>
              <w:rPr>
                <w:rFonts w:hAnsi="ＭＳ 明朝"/>
                <w:sz w:val="20"/>
                <w:szCs w:val="20"/>
              </w:rPr>
            </w:pPr>
            <w:r w:rsidRPr="00E22524">
              <w:rPr>
                <w:rFonts w:hAnsi="ＭＳ 明朝" w:hint="eastAsia"/>
                <w:sz w:val="20"/>
                <w:szCs w:val="20"/>
              </w:rPr>
              <w:t>一日配水能力</w:t>
            </w:r>
          </w:p>
        </w:tc>
        <w:tc>
          <w:tcPr>
            <w:tcW w:w="709" w:type="dxa"/>
            <w:vMerge/>
            <w:tcBorders>
              <w:left w:val="nil"/>
            </w:tcBorders>
          </w:tcPr>
          <w:p w:rsidR="00A45700" w:rsidRPr="00E22524" w:rsidRDefault="00A45700" w:rsidP="005724A0">
            <w:pPr>
              <w:kinsoku w:val="0"/>
              <w:overflowPunct w:val="0"/>
              <w:snapToGrid w:val="0"/>
              <w:spacing w:line="362" w:lineRule="exact"/>
              <w:jc w:val="left"/>
              <w:rPr>
                <w:rFonts w:hAnsi="ＭＳ 明朝"/>
                <w:sz w:val="20"/>
                <w:szCs w:val="20"/>
              </w:rPr>
            </w:pPr>
          </w:p>
        </w:tc>
      </w:tr>
    </w:tbl>
    <w:p w:rsidR="00A45700" w:rsidRPr="00E22524" w:rsidRDefault="00A45700" w:rsidP="007F033E">
      <w:pPr>
        <w:kinsoku w:val="0"/>
        <w:overflowPunct w:val="0"/>
        <w:snapToGrid w:val="0"/>
        <w:spacing w:line="362" w:lineRule="exact"/>
        <w:jc w:val="left"/>
        <w:rPr>
          <w:rFonts w:hAnsi="ＭＳ 明朝"/>
          <w:sz w:val="20"/>
          <w:szCs w:val="20"/>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A45700" w:rsidRPr="005724A0" w:rsidTr="00A45700">
        <w:trPr>
          <w:cantSplit/>
          <w:trHeight w:val="825"/>
        </w:trPr>
        <w:tc>
          <w:tcPr>
            <w:tcW w:w="9781" w:type="dxa"/>
            <w:vAlign w:val="center"/>
          </w:tcPr>
          <w:p w:rsidR="00A45700" w:rsidRPr="005724A0" w:rsidRDefault="00A45700" w:rsidP="005724A0">
            <w:pPr>
              <w:kinsoku w:val="0"/>
              <w:overflowPunct w:val="0"/>
              <w:snapToGrid w:val="0"/>
              <w:spacing w:line="362" w:lineRule="exact"/>
              <w:jc w:val="center"/>
              <w:rPr>
                <w:rFonts w:hAnsi="ＭＳ 明朝"/>
                <w:sz w:val="22"/>
              </w:rPr>
            </w:pPr>
            <w:r w:rsidRPr="005724A0">
              <w:rPr>
                <w:rFonts w:hAnsi="ＭＳ 明朝" w:hint="eastAsia"/>
                <w:sz w:val="22"/>
              </w:rPr>
              <w:t>説　　　　　　　　　　　　　　　明</w:t>
            </w:r>
          </w:p>
        </w:tc>
      </w:tr>
      <w:tr w:rsidR="00A45700" w:rsidRPr="005724A0" w:rsidTr="00A45700">
        <w:trPr>
          <w:cantSplit/>
          <w:trHeight w:val="836"/>
        </w:trPr>
        <w:tc>
          <w:tcPr>
            <w:tcW w:w="9781" w:type="dxa"/>
            <w:tcBorders>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給水収益に占める職員給与費の割合であり、比率の低い方が望ましい。</w:t>
            </w:r>
          </w:p>
        </w:tc>
      </w:tr>
      <w:tr w:rsidR="00A45700" w:rsidRPr="005724A0" w:rsidTr="00A45700">
        <w:trPr>
          <w:cantSplit/>
          <w:trHeight w:val="853"/>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給水収益に占める企業債利息の割合であり、比率の低い方が望ましい。</w:t>
            </w:r>
          </w:p>
        </w:tc>
      </w:tr>
      <w:tr w:rsidR="00A45700" w:rsidRPr="005724A0" w:rsidTr="00A45700">
        <w:trPr>
          <w:cantSplit/>
          <w:trHeight w:val="837"/>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給水収益に占める企業債償還金の割合であり、比率の低い方が望ましい。</w:t>
            </w:r>
          </w:p>
        </w:tc>
      </w:tr>
      <w:tr w:rsidR="00A45700" w:rsidRPr="005724A0" w:rsidTr="00A45700">
        <w:trPr>
          <w:cantSplit/>
          <w:trHeight w:val="849"/>
        </w:trPr>
        <w:tc>
          <w:tcPr>
            <w:tcW w:w="9781" w:type="dxa"/>
            <w:tcBorders>
              <w:top w:val="single" w:sz="2" w:space="0" w:color="auto"/>
              <w:bottom w:val="single" w:sz="2" w:space="0" w:color="auto"/>
            </w:tcBorders>
            <w:vAlign w:val="center"/>
          </w:tcPr>
          <w:p w:rsidR="00A45700" w:rsidRPr="005724A0" w:rsidRDefault="00A45700" w:rsidP="00A45700">
            <w:pPr>
              <w:kinsoku w:val="0"/>
              <w:overflowPunct w:val="0"/>
              <w:snapToGrid w:val="0"/>
              <w:ind w:firstLineChars="100" w:firstLine="199"/>
              <w:rPr>
                <w:rFonts w:hAnsi="ＭＳ 明朝"/>
                <w:sz w:val="22"/>
              </w:rPr>
            </w:pPr>
            <w:r w:rsidRPr="005724A0">
              <w:rPr>
                <w:rFonts w:hAnsi="ＭＳ 明朝" w:hint="eastAsia"/>
                <w:sz w:val="22"/>
              </w:rPr>
              <w:t>職員１人当たりの労働生産性を示すものであり、数値が高いほど効率的な経営であることを示す。</w:t>
            </w:r>
          </w:p>
        </w:tc>
      </w:tr>
      <w:tr w:rsidR="00A45700" w:rsidRPr="005724A0" w:rsidTr="00A45700">
        <w:trPr>
          <w:cantSplit/>
          <w:trHeight w:val="833"/>
        </w:trPr>
        <w:tc>
          <w:tcPr>
            <w:tcW w:w="9781" w:type="dxa"/>
            <w:tcBorders>
              <w:top w:val="single" w:sz="2" w:space="0" w:color="auto"/>
              <w:bottom w:val="single" w:sz="2" w:space="0" w:color="auto"/>
            </w:tcBorders>
            <w:vAlign w:val="center"/>
          </w:tcPr>
          <w:p w:rsidR="00A45700" w:rsidRDefault="00A45700" w:rsidP="00A45700">
            <w:pPr>
              <w:kinsoku w:val="0"/>
              <w:overflowPunct w:val="0"/>
              <w:snapToGrid w:val="0"/>
              <w:ind w:firstLineChars="100" w:firstLine="199"/>
              <w:rPr>
                <w:rFonts w:hAnsi="ＭＳ 明朝"/>
                <w:sz w:val="22"/>
              </w:rPr>
            </w:pPr>
            <w:r w:rsidRPr="005724A0">
              <w:rPr>
                <w:rFonts w:hAnsi="ＭＳ 明朝" w:hint="eastAsia"/>
                <w:sz w:val="22"/>
              </w:rPr>
              <w:t>１㎥当たりに占める職員給与費</w:t>
            </w:r>
            <w:r>
              <w:rPr>
                <w:rFonts w:hAnsi="ＭＳ 明朝" w:hint="eastAsia"/>
                <w:sz w:val="22"/>
              </w:rPr>
              <w:t>を示すもの</w:t>
            </w:r>
            <w:r w:rsidRPr="005724A0">
              <w:rPr>
                <w:rFonts w:hAnsi="ＭＳ 明朝" w:hint="eastAsia"/>
                <w:sz w:val="22"/>
              </w:rPr>
              <w:t>であり、費用構成比と併せて見ることで、効率化を図るべき</w:t>
            </w:r>
          </w:p>
          <w:p w:rsidR="00A45700" w:rsidRPr="005724A0" w:rsidRDefault="00A45700" w:rsidP="00A45700">
            <w:pPr>
              <w:kinsoku w:val="0"/>
              <w:overflowPunct w:val="0"/>
              <w:snapToGrid w:val="0"/>
              <w:rPr>
                <w:rFonts w:hAnsi="ＭＳ 明朝"/>
                <w:sz w:val="22"/>
              </w:rPr>
            </w:pPr>
            <w:r w:rsidRPr="005724A0">
              <w:rPr>
                <w:rFonts w:hAnsi="ＭＳ 明朝" w:hint="eastAsia"/>
                <w:sz w:val="22"/>
              </w:rPr>
              <w:t>項目かどうかを判断できるものである。数値が低い方が望ましい。</w:t>
            </w:r>
          </w:p>
        </w:tc>
      </w:tr>
      <w:tr w:rsidR="00A45700" w:rsidRPr="005724A0" w:rsidTr="00A45700">
        <w:trPr>
          <w:cantSplit/>
          <w:trHeight w:val="873"/>
        </w:trPr>
        <w:tc>
          <w:tcPr>
            <w:tcW w:w="9781" w:type="dxa"/>
            <w:tcBorders>
              <w:top w:val="single" w:sz="2" w:space="0" w:color="auto"/>
              <w:bottom w:val="single" w:sz="2" w:space="0" w:color="auto"/>
            </w:tcBorders>
            <w:vAlign w:val="center"/>
          </w:tcPr>
          <w:p w:rsidR="00A45700" w:rsidRDefault="00A45700" w:rsidP="00A45700">
            <w:pPr>
              <w:kinsoku w:val="0"/>
              <w:overflowPunct w:val="0"/>
              <w:snapToGrid w:val="0"/>
              <w:ind w:firstLineChars="100" w:firstLine="199"/>
              <w:jc w:val="distribute"/>
              <w:rPr>
                <w:rFonts w:hAnsi="ＭＳ 明朝"/>
                <w:sz w:val="22"/>
              </w:rPr>
            </w:pPr>
            <w:r w:rsidRPr="005724A0">
              <w:rPr>
                <w:rFonts w:hAnsi="ＭＳ 明朝" w:hint="eastAsia"/>
                <w:sz w:val="22"/>
              </w:rPr>
              <w:t>一日平均配水量が一日最大配水量に対してどのような割合かを示すものであり、この比率が高いほど、</w:t>
            </w:r>
          </w:p>
          <w:p w:rsidR="00A45700" w:rsidRPr="005724A0" w:rsidRDefault="00A45700" w:rsidP="00A45700">
            <w:pPr>
              <w:kinsoku w:val="0"/>
              <w:overflowPunct w:val="0"/>
              <w:snapToGrid w:val="0"/>
              <w:rPr>
                <w:rFonts w:hAnsi="ＭＳ 明朝"/>
                <w:sz w:val="22"/>
              </w:rPr>
            </w:pPr>
            <w:r w:rsidRPr="005724A0">
              <w:rPr>
                <w:rFonts w:hAnsi="ＭＳ 明朝" w:hint="eastAsia"/>
                <w:sz w:val="22"/>
              </w:rPr>
              <w:t>効率が良いことを示す。</w:t>
            </w:r>
          </w:p>
        </w:tc>
      </w:tr>
      <w:tr w:rsidR="00A45700" w:rsidRPr="005724A0" w:rsidTr="00A45700">
        <w:trPr>
          <w:cantSplit/>
          <w:trHeight w:val="843"/>
        </w:trPr>
        <w:tc>
          <w:tcPr>
            <w:tcW w:w="9781" w:type="dxa"/>
            <w:tcBorders>
              <w:top w:val="single" w:sz="2" w:space="0" w:color="auto"/>
              <w:bottom w:val="single" w:sz="2" w:space="0" w:color="auto"/>
            </w:tcBorders>
            <w:vAlign w:val="center"/>
          </w:tcPr>
          <w:p w:rsidR="00A45700" w:rsidRDefault="00A45700" w:rsidP="00A45700">
            <w:pPr>
              <w:kinsoku w:val="0"/>
              <w:overflowPunct w:val="0"/>
              <w:snapToGrid w:val="0"/>
              <w:ind w:firstLineChars="100" w:firstLine="199"/>
              <w:jc w:val="distribute"/>
              <w:rPr>
                <w:rFonts w:hAnsi="ＭＳ 明朝"/>
                <w:sz w:val="22"/>
              </w:rPr>
            </w:pPr>
            <w:r w:rsidRPr="005724A0">
              <w:rPr>
                <w:rFonts w:hAnsi="ＭＳ 明朝" w:hint="eastAsia"/>
                <w:sz w:val="22"/>
              </w:rPr>
              <w:t>配水能力に対して一日平均どれだけの配水量が利用されたかを示すものであり、この比率が高いほど、</w:t>
            </w:r>
          </w:p>
          <w:p w:rsidR="00A45700" w:rsidRPr="005724A0" w:rsidRDefault="00A45700" w:rsidP="00A45700">
            <w:pPr>
              <w:kinsoku w:val="0"/>
              <w:overflowPunct w:val="0"/>
              <w:snapToGrid w:val="0"/>
              <w:rPr>
                <w:rFonts w:hAnsi="ＭＳ 明朝"/>
                <w:sz w:val="22"/>
              </w:rPr>
            </w:pPr>
            <w:r w:rsidRPr="005724A0">
              <w:rPr>
                <w:rFonts w:hAnsi="ＭＳ 明朝" w:hint="eastAsia"/>
                <w:sz w:val="22"/>
              </w:rPr>
              <w:t>効率が良いことを示す。</w:t>
            </w:r>
          </w:p>
        </w:tc>
      </w:tr>
      <w:tr w:rsidR="00A45700" w:rsidRPr="005724A0" w:rsidTr="00A45700">
        <w:trPr>
          <w:cantSplit/>
          <w:trHeight w:val="979"/>
        </w:trPr>
        <w:tc>
          <w:tcPr>
            <w:tcW w:w="9781" w:type="dxa"/>
            <w:tcBorders>
              <w:top w:val="single" w:sz="2" w:space="0" w:color="auto"/>
            </w:tcBorders>
            <w:vAlign w:val="center"/>
          </w:tcPr>
          <w:p w:rsidR="00A45700" w:rsidRDefault="00A45700" w:rsidP="00A45700">
            <w:pPr>
              <w:kinsoku w:val="0"/>
              <w:overflowPunct w:val="0"/>
              <w:snapToGrid w:val="0"/>
              <w:ind w:firstLineChars="100" w:firstLine="199"/>
              <w:rPr>
                <w:rFonts w:hAnsi="ＭＳ 明朝"/>
                <w:sz w:val="22"/>
              </w:rPr>
            </w:pPr>
            <w:r w:rsidRPr="005724A0">
              <w:rPr>
                <w:rFonts w:hAnsi="ＭＳ 明朝" w:hint="eastAsia"/>
                <w:sz w:val="22"/>
              </w:rPr>
              <w:t>この比率が高くなれば</w:t>
            </w:r>
            <w:r>
              <w:rPr>
                <w:rFonts w:hAnsi="ＭＳ 明朝" w:hint="eastAsia"/>
                <w:sz w:val="22"/>
              </w:rPr>
              <w:t>、</w:t>
            </w:r>
            <w:r w:rsidRPr="005724A0">
              <w:rPr>
                <w:rFonts w:hAnsi="ＭＳ 明朝" w:hint="eastAsia"/>
                <w:sz w:val="22"/>
              </w:rPr>
              <w:t>配水能力を向上させる必要が生まれ、低くなれば、まだ能力に余裕があることを</w:t>
            </w:r>
          </w:p>
          <w:p w:rsidR="00A45700" w:rsidRPr="005724A0" w:rsidRDefault="00A45700" w:rsidP="00A45700">
            <w:pPr>
              <w:kinsoku w:val="0"/>
              <w:overflowPunct w:val="0"/>
              <w:snapToGrid w:val="0"/>
              <w:rPr>
                <w:rFonts w:hAnsi="ＭＳ 明朝"/>
                <w:sz w:val="22"/>
              </w:rPr>
            </w:pPr>
            <w:r w:rsidRPr="005724A0">
              <w:rPr>
                <w:rFonts w:hAnsi="ＭＳ 明朝" w:hint="eastAsia"/>
                <w:sz w:val="22"/>
              </w:rPr>
              <w:t>示す。</w:t>
            </w:r>
          </w:p>
        </w:tc>
      </w:tr>
    </w:tbl>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Default="00A45700" w:rsidP="007F033E">
      <w:pPr>
        <w:kinsoku w:val="0"/>
        <w:overflowPunct w:val="0"/>
        <w:snapToGrid w:val="0"/>
        <w:spacing w:line="362" w:lineRule="exact"/>
        <w:jc w:val="left"/>
        <w:rPr>
          <w:rFonts w:hAnsi="ＭＳ 明朝"/>
          <w:sz w:val="22"/>
        </w:rPr>
      </w:pPr>
    </w:p>
    <w:p w:rsidR="00A45700" w:rsidRPr="00DD0387" w:rsidRDefault="00A45700" w:rsidP="007F033E">
      <w:pPr>
        <w:kinsoku w:val="0"/>
        <w:overflowPunct w:val="0"/>
        <w:snapToGrid w:val="0"/>
        <w:spacing w:line="362" w:lineRule="exact"/>
        <w:jc w:val="left"/>
        <w:rPr>
          <w:rFonts w:hAnsi="ＭＳ 明朝"/>
          <w:sz w:val="22"/>
        </w:rPr>
      </w:pPr>
    </w:p>
    <w:p w:rsidR="00E51B98" w:rsidRDefault="00E51B98"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rFonts w:hint="eastAsia"/>
          <w:sz w:val="22"/>
        </w:rPr>
      </w:pPr>
    </w:p>
    <w:p w:rsidR="005A4189" w:rsidRDefault="005A4189" w:rsidP="0035704A">
      <w:pPr>
        <w:ind w:left="1"/>
        <w:rPr>
          <w:sz w:val="22"/>
        </w:rPr>
      </w:pPr>
    </w:p>
    <w:sectPr w:rsidR="005A4189" w:rsidSect="00A45700">
      <w:footerReference w:type="default" r:id="rId43"/>
      <w:pgSz w:w="11906" w:h="16838" w:code="9"/>
      <w:pgMar w:top="1134" w:right="1134" w:bottom="1134" w:left="1134" w:header="851" w:footer="567" w:gutter="0"/>
      <w:pgNumType w:fmt="numberInDash" w:start="5"/>
      <w:cols w:space="425"/>
      <w:docGrid w:type="linesAndChars" w:linePitch="364" w:charSpace="-42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700" w:rsidRDefault="00A45700" w:rsidP="004F288A">
      <w:r>
        <w:separator/>
      </w:r>
    </w:p>
  </w:endnote>
  <w:endnote w:type="continuationSeparator" w:id="0">
    <w:p w:rsidR="00A45700" w:rsidRDefault="00A45700" w:rsidP="004F288A">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700" w:rsidRDefault="00A44DC0" w:rsidP="00A45700">
    <w:pPr>
      <w:pStyle w:val="a5"/>
      <w:jc w:val="center"/>
    </w:pPr>
    <w:sdt>
      <w:sdtPr>
        <w:id w:val="19005540"/>
        <w:docPartObj>
          <w:docPartGallery w:val="Page Numbers (Bottom of Page)"/>
          <w:docPartUnique/>
        </w:docPartObj>
      </w:sdtPr>
      <w:sdtContent>
        <w:r>
          <w:fldChar w:fldCharType="begin"/>
        </w:r>
        <w:r w:rsidR="00A45700">
          <w:instrText xml:space="preserve"> PAGE   \* MERGEFORMAT </w:instrText>
        </w:r>
        <w:r>
          <w:fldChar w:fldCharType="separate"/>
        </w:r>
        <w:r w:rsidR="005A4189" w:rsidRPr="005A4189">
          <w:rPr>
            <w:noProof/>
            <w:lang w:val="ja-JP"/>
          </w:rPr>
          <w:t>-</w:t>
        </w:r>
        <w:r w:rsidR="005A4189">
          <w:rPr>
            <w:noProof/>
          </w:rPr>
          <w:t xml:space="preserve"> 24 -</w:t>
        </w:r>
        <w: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700" w:rsidRDefault="00A45700" w:rsidP="004F288A">
      <w:r>
        <w:separator/>
      </w:r>
    </w:p>
  </w:footnote>
  <w:footnote w:type="continuationSeparator" w:id="0">
    <w:p w:rsidR="00A45700" w:rsidRDefault="00A45700" w:rsidP="004F28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82"/>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05A2"/>
    <w:rsid w:val="000150AD"/>
    <w:rsid w:val="0002543C"/>
    <w:rsid w:val="0006391A"/>
    <w:rsid w:val="00066FBA"/>
    <w:rsid w:val="000832A9"/>
    <w:rsid w:val="00091E33"/>
    <w:rsid w:val="000945C5"/>
    <w:rsid w:val="000B1BD0"/>
    <w:rsid w:val="000B5EDF"/>
    <w:rsid w:val="001230BD"/>
    <w:rsid w:val="001633AE"/>
    <w:rsid w:val="0019365C"/>
    <w:rsid w:val="001967F3"/>
    <w:rsid w:val="001B4459"/>
    <w:rsid w:val="001C549F"/>
    <w:rsid w:val="001D25A5"/>
    <w:rsid w:val="001D2839"/>
    <w:rsid w:val="001D4EDC"/>
    <w:rsid w:val="001D4F7B"/>
    <w:rsid w:val="001F1581"/>
    <w:rsid w:val="001F195E"/>
    <w:rsid w:val="001F52D3"/>
    <w:rsid w:val="00205378"/>
    <w:rsid w:val="002359C2"/>
    <w:rsid w:val="00256D16"/>
    <w:rsid w:val="00274F67"/>
    <w:rsid w:val="00280BA0"/>
    <w:rsid w:val="0028235C"/>
    <w:rsid w:val="002B2F92"/>
    <w:rsid w:val="002C7A19"/>
    <w:rsid w:val="002D0B54"/>
    <w:rsid w:val="002E0612"/>
    <w:rsid w:val="002F26FC"/>
    <w:rsid w:val="002F6530"/>
    <w:rsid w:val="0031089A"/>
    <w:rsid w:val="003155E2"/>
    <w:rsid w:val="0035704A"/>
    <w:rsid w:val="003640C5"/>
    <w:rsid w:val="00364B77"/>
    <w:rsid w:val="00367F3D"/>
    <w:rsid w:val="00377E75"/>
    <w:rsid w:val="003A413F"/>
    <w:rsid w:val="003A597A"/>
    <w:rsid w:val="003A69C2"/>
    <w:rsid w:val="003A796B"/>
    <w:rsid w:val="003C0C23"/>
    <w:rsid w:val="003E0E67"/>
    <w:rsid w:val="003F3AE9"/>
    <w:rsid w:val="003F7D36"/>
    <w:rsid w:val="00414619"/>
    <w:rsid w:val="004212BD"/>
    <w:rsid w:val="00435B0E"/>
    <w:rsid w:val="004517DB"/>
    <w:rsid w:val="004664D6"/>
    <w:rsid w:val="00470DD3"/>
    <w:rsid w:val="00474195"/>
    <w:rsid w:val="004B1573"/>
    <w:rsid w:val="004B3A3D"/>
    <w:rsid w:val="004B7881"/>
    <w:rsid w:val="004C3DD0"/>
    <w:rsid w:val="004C3FE4"/>
    <w:rsid w:val="004F288A"/>
    <w:rsid w:val="00514ECF"/>
    <w:rsid w:val="005724A0"/>
    <w:rsid w:val="005A29CC"/>
    <w:rsid w:val="005A336A"/>
    <w:rsid w:val="005A377F"/>
    <w:rsid w:val="005A4189"/>
    <w:rsid w:val="005B291A"/>
    <w:rsid w:val="005B7665"/>
    <w:rsid w:val="006056B1"/>
    <w:rsid w:val="00655FDA"/>
    <w:rsid w:val="00682C42"/>
    <w:rsid w:val="0068304B"/>
    <w:rsid w:val="006B63E2"/>
    <w:rsid w:val="006C746E"/>
    <w:rsid w:val="006D03AB"/>
    <w:rsid w:val="00711543"/>
    <w:rsid w:val="00777953"/>
    <w:rsid w:val="007A15D6"/>
    <w:rsid w:val="007B020B"/>
    <w:rsid w:val="007B4C66"/>
    <w:rsid w:val="007D726A"/>
    <w:rsid w:val="007E3AB5"/>
    <w:rsid w:val="007F033E"/>
    <w:rsid w:val="008119ED"/>
    <w:rsid w:val="00821182"/>
    <w:rsid w:val="00831C89"/>
    <w:rsid w:val="00833018"/>
    <w:rsid w:val="008F2862"/>
    <w:rsid w:val="008F746F"/>
    <w:rsid w:val="009376DD"/>
    <w:rsid w:val="0097237B"/>
    <w:rsid w:val="00980B1E"/>
    <w:rsid w:val="009A4AA1"/>
    <w:rsid w:val="009A4BC7"/>
    <w:rsid w:val="009B7F67"/>
    <w:rsid w:val="009C313D"/>
    <w:rsid w:val="009D482C"/>
    <w:rsid w:val="009E1F5A"/>
    <w:rsid w:val="009F0FE7"/>
    <w:rsid w:val="009F4DD1"/>
    <w:rsid w:val="009F704E"/>
    <w:rsid w:val="00A006FC"/>
    <w:rsid w:val="00A1233B"/>
    <w:rsid w:val="00A220F6"/>
    <w:rsid w:val="00A419BD"/>
    <w:rsid w:val="00A44DC0"/>
    <w:rsid w:val="00A45700"/>
    <w:rsid w:val="00A52400"/>
    <w:rsid w:val="00A550F7"/>
    <w:rsid w:val="00A62F4E"/>
    <w:rsid w:val="00A70B61"/>
    <w:rsid w:val="00A75B3D"/>
    <w:rsid w:val="00A77631"/>
    <w:rsid w:val="00A92C3F"/>
    <w:rsid w:val="00AD7FDC"/>
    <w:rsid w:val="00AE2BF8"/>
    <w:rsid w:val="00AE321E"/>
    <w:rsid w:val="00AE4561"/>
    <w:rsid w:val="00B14E98"/>
    <w:rsid w:val="00B17AB6"/>
    <w:rsid w:val="00B245DC"/>
    <w:rsid w:val="00B46022"/>
    <w:rsid w:val="00B818E2"/>
    <w:rsid w:val="00BA553F"/>
    <w:rsid w:val="00BA6192"/>
    <w:rsid w:val="00BD413C"/>
    <w:rsid w:val="00BD4BD4"/>
    <w:rsid w:val="00C00D69"/>
    <w:rsid w:val="00C261D1"/>
    <w:rsid w:val="00C66063"/>
    <w:rsid w:val="00C66786"/>
    <w:rsid w:val="00C743D4"/>
    <w:rsid w:val="00C90707"/>
    <w:rsid w:val="00C935A7"/>
    <w:rsid w:val="00CA4F2F"/>
    <w:rsid w:val="00CA53EA"/>
    <w:rsid w:val="00CF0971"/>
    <w:rsid w:val="00CF215D"/>
    <w:rsid w:val="00CF5A8E"/>
    <w:rsid w:val="00D1082D"/>
    <w:rsid w:val="00D17AE7"/>
    <w:rsid w:val="00D2703B"/>
    <w:rsid w:val="00D62DD1"/>
    <w:rsid w:val="00D663D6"/>
    <w:rsid w:val="00D76A0F"/>
    <w:rsid w:val="00D77F6F"/>
    <w:rsid w:val="00DA7F32"/>
    <w:rsid w:val="00DB4F3E"/>
    <w:rsid w:val="00DC38FA"/>
    <w:rsid w:val="00DC4013"/>
    <w:rsid w:val="00DC4418"/>
    <w:rsid w:val="00DD0387"/>
    <w:rsid w:val="00DD1A5E"/>
    <w:rsid w:val="00DE7AAF"/>
    <w:rsid w:val="00E205A2"/>
    <w:rsid w:val="00E31653"/>
    <w:rsid w:val="00E51B98"/>
    <w:rsid w:val="00E613B5"/>
    <w:rsid w:val="00E6415A"/>
    <w:rsid w:val="00E86E85"/>
    <w:rsid w:val="00EB606C"/>
    <w:rsid w:val="00EB76C3"/>
    <w:rsid w:val="00EC2CCA"/>
    <w:rsid w:val="00EC351A"/>
    <w:rsid w:val="00ED078F"/>
    <w:rsid w:val="00ED329E"/>
    <w:rsid w:val="00ED392C"/>
    <w:rsid w:val="00F07FC4"/>
    <w:rsid w:val="00F160E9"/>
    <w:rsid w:val="00F430F1"/>
    <w:rsid w:val="00F737A4"/>
    <w:rsid w:val="00FA3DB2"/>
    <w:rsid w:val="00FC1DD4"/>
    <w:rsid w:val="00FC586A"/>
    <w:rsid w:val="00FC62A9"/>
    <w:rsid w:val="00FD2036"/>
    <w:rsid w:val="00FD538E"/>
    <w:rsid w:val="00FD613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88A"/>
    <w:pPr>
      <w:tabs>
        <w:tab w:val="center" w:pos="4252"/>
        <w:tab w:val="right" w:pos="8504"/>
      </w:tabs>
      <w:snapToGrid w:val="0"/>
    </w:pPr>
  </w:style>
  <w:style w:type="character" w:customStyle="1" w:styleId="a4">
    <w:name w:val="ヘッダー (文字)"/>
    <w:basedOn w:val="a0"/>
    <w:link w:val="a3"/>
    <w:uiPriority w:val="99"/>
    <w:semiHidden/>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274F67"/>
    <w:pPr>
      <w:widowControl w:val="0"/>
      <w:jc w:val="both"/>
    </w:pPr>
    <w:rPr>
      <w:kern w:val="2"/>
      <w:sz w:val="24"/>
      <w:szCs w:val="22"/>
    </w:rPr>
  </w:style>
  <w:style w:type="paragraph" w:styleId="a9">
    <w:name w:val="Balloon Text"/>
    <w:basedOn w:val="a"/>
    <w:link w:val="aa"/>
    <w:uiPriority w:val="99"/>
    <w:semiHidden/>
    <w:unhideWhenUsed/>
    <w:rsid w:val="00274F6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74F67"/>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package" Target="embeddings/Microsoft_Office_Excel_______4.xlsx"/><Relationship Id="rId18" Type="http://schemas.openxmlformats.org/officeDocument/2006/relationships/image" Target="media/image5.emf"/><Relationship Id="rId26" Type="http://schemas.openxmlformats.org/officeDocument/2006/relationships/package" Target="embeddings/Microsoft_Office_Excel_______12.xlsx"/><Relationship Id="rId39"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image" Target="media/image6.emf"/><Relationship Id="rId34" Type="http://schemas.openxmlformats.org/officeDocument/2006/relationships/package" Target="embeddings/Microsoft_Office_Excel_______16.xlsx"/><Relationship Id="rId42" Type="http://schemas.openxmlformats.org/officeDocument/2006/relationships/package" Target="embeddings/Microsoft_Office_Excel_______20.xlsx"/><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chart" Target="charts/chart3.xml"/><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package" Target="embeddings/Microsoft_Office_Excel_______18.xlsx"/><Relationship Id="rId2" Type="http://schemas.openxmlformats.org/officeDocument/2006/relationships/styles" Target="styles.xml"/><Relationship Id="rId16" Type="http://schemas.openxmlformats.org/officeDocument/2006/relationships/package" Target="embeddings/Microsoft_Office_Excel_______6.xlsx"/><Relationship Id="rId20" Type="http://schemas.openxmlformats.org/officeDocument/2006/relationships/chart" Target="charts/chart4.xml"/><Relationship Id="rId29" Type="http://schemas.openxmlformats.org/officeDocument/2006/relationships/image" Target="media/image10.e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24" Type="http://schemas.openxmlformats.org/officeDocument/2006/relationships/package" Target="embeddings/Microsoft_Office_Excel_______11.xlsx"/><Relationship Id="rId32" Type="http://schemas.openxmlformats.org/officeDocument/2006/relationships/package" Target="embeddings/Microsoft_Office_Excel_______15.xlsx"/><Relationship Id="rId37" Type="http://schemas.openxmlformats.org/officeDocument/2006/relationships/image" Target="media/image14.emf"/><Relationship Id="rId40" Type="http://schemas.openxmlformats.org/officeDocument/2006/relationships/package" Target="embeddings/Microsoft_Office_Excel_______19.xlsx"/><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7.emf"/><Relationship Id="rId28" Type="http://schemas.openxmlformats.org/officeDocument/2006/relationships/package" Target="embeddings/Microsoft_Office_Excel_______13.xlsx"/><Relationship Id="rId36" Type="http://schemas.openxmlformats.org/officeDocument/2006/relationships/package" Target="embeddings/Microsoft_Office_Excel_______17.xlsx"/><Relationship Id="rId10" Type="http://schemas.openxmlformats.org/officeDocument/2006/relationships/package" Target="embeddings/Microsoft_Office_Excel_______2.xlsx"/><Relationship Id="rId19" Type="http://schemas.openxmlformats.org/officeDocument/2006/relationships/package" Target="embeddings/Microsoft_Office_Excel_______8.xlsx"/><Relationship Id="rId31" Type="http://schemas.openxmlformats.org/officeDocument/2006/relationships/image" Target="media/image11.e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hart" Target="charts/chart2.xml"/><Relationship Id="rId22" Type="http://schemas.openxmlformats.org/officeDocument/2006/relationships/package" Target="embeddings/Microsoft_Office_Excel_______10.xlsx"/><Relationship Id="rId27" Type="http://schemas.openxmlformats.org/officeDocument/2006/relationships/image" Target="media/image9.emf"/><Relationship Id="rId30" Type="http://schemas.openxmlformats.org/officeDocument/2006/relationships/package" Target="embeddings/Microsoft_Office_Excel_______14.xlsx"/><Relationship Id="rId35" Type="http://schemas.openxmlformats.org/officeDocument/2006/relationships/image" Target="media/image13.emf"/><Relationship Id="rId43"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5.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___7.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012480499220037"/>
          <c:y val="8.6206896551724227E-2"/>
          <c:w val="0.86583463338534195"/>
          <c:h val="0.65517241379311131"/>
        </c:manualLayout>
      </c:layout>
      <c:barChart>
        <c:barDir val="col"/>
        <c:grouping val="clustered"/>
        <c:ser>
          <c:idx val="0"/>
          <c:order val="0"/>
          <c:tx>
            <c:strRef>
              <c:f>Sheet1!$A$2</c:f>
              <c:strCache>
                <c:ptCount val="1"/>
                <c:pt idx="0">
                  <c:v>事業収益</c:v>
                </c:pt>
              </c:strCache>
            </c:strRef>
          </c:tx>
          <c:spPr>
            <a:solidFill>
              <a:srgbClr val="CC99FF"/>
            </a:solidFill>
            <a:ln w="12700">
              <a:solidFill>
                <a:srgbClr val="000000"/>
              </a:solidFill>
              <a:prstDash val="solid"/>
            </a:ln>
          </c:spPr>
          <c:dLbls>
            <c:dLbl>
              <c:idx val="0"/>
              <c:layout>
                <c:manualLayout>
                  <c:x val="-2.8979191752306612E-3"/>
                  <c:y val="-6.6220476180859217E-2"/>
                </c:manualLayout>
              </c:layout>
              <c:dLblPos val="outEnd"/>
              <c:showVal val="1"/>
            </c:dLbl>
            <c:dLbl>
              <c:idx val="1"/>
              <c:layout>
                <c:manualLayout>
                  <c:x val="2.2222978254752291E-4"/>
                  <c:y val="-7.5003365922947873E-2"/>
                </c:manualLayout>
              </c:layout>
              <c:dLblPos val="outEnd"/>
              <c:showVal val="1"/>
            </c:dLbl>
            <c:dLbl>
              <c:idx val="2"/>
              <c:layout>
                <c:manualLayout>
                  <c:x val="-2.8978708696590092E-3"/>
                  <c:y val="-7.8672943738971893E-2"/>
                </c:manualLayout>
              </c:layout>
              <c:dLblPos val="outEnd"/>
              <c:showVal val="1"/>
            </c:dLbl>
            <c:dLbl>
              <c:idx val="3"/>
              <c:layout>
                <c:manualLayout>
                  <c:x val="2.2227808811901538E-4"/>
                  <c:y val="-9.0482232040743807E-2"/>
                </c:manualLayout>
              </c:layout>
              <c:dLblPos val="outEnd"/>
              <c:showVal val="1"/>
            </c:dLbl>
            <c:dLbl>
              <c:idx val="4"/>
              <c:layout>
                <c:manualLayout>
                  <c:x val="-4.4578849665836313E-3"/>
                  <c:y val="-8.4354573055114526E-2"/>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3269193</c:v>
                </c:pt>
                <c:pt idx="1">
                  <c:v>3274083</c:v>
                </c:pt>
                <c:pt idx="2">
                  <c:v>3183960</c:v>
                </c:pt>
                <c:pt idx="3">
                  <c:v>3197827</c:v>
                </c:pt>
                <c:pt idx="4">
                  <c:v>3125114</c:v>
                </c:pt>
              </c:numCache>
            </c:numRef>
          </c:val>
        </c:ser>
        <c:ser>
          <c:idx val="1"/>
          <c:order val="1"/>
          <c:tx>
            <c:strRef>
              <c:f>Sheet1!$A$3</c:f>
              <c:strCache>
                <c:ptCount val="1"/>
                <c:pt idx="0">
                  <c:v>事業費用</c:v>
                </c:pt>
              </c:strCache>
            </c:strRef>
          </c:tx>
          <c:spPr>
            <a:noFill/>
            <a:ln w="12700">
              <a:solidFill>
                <a:srgbClr val="000000"/>
              </a:solidFill>
              <a:prstDash val="solid"/>
            </a:ln>
          </c:spPr>
          <c:dLbls>
            <c:dLbl>
              <c:idx val="0"/>
              <c:layout>
                <c:manualLayout>
                  <c:x val="2.5628966124088794E-2"/>
                  <c:y val="1.7969839834426813E-3"/>
                </c:manualLayout>
              </c:layout>
              <c:dLblPos val="outEnd"/>
              <c:showVal val="1"/>
            </c:dLbl>
            <c:dLbl>
              <c:idx val="1"/>
              <c:layout>
                <c:manualLayout>
                  <c:x val="2.2508865471882612E-2"/>
                  <c:y val="8.5866190351168705E-4"/>
                </c:manualLayout>
              </c:layout>
              <c:dLblPos val="outEnd"/>
              <c:showVal val="1"/>
            </c:dLbl>
            <c:dLbl>
              <c:idx val="2"/>
              <c:layout>
                <c:manualLayout>
                  <c:x val="2.5629014429660871E-2"/>
                  <c:y val="1.0174960674800642E-3"/>
                </c:manualLayout>
              </c:layout>
              <c:dLblPos val="outEnd"/>
              <c:showVal val="1"/>
            </c:dLbl>
            <c:dLbl>
              <c:idx val="3"/>
              <c:layout>
                <c:manualLayout>
                  <c:x val="2.4068976179950251E-2"/>
                  <c:y val="-3.9485567296393409E-3"/>
                </c:manualLayout>
              </c:layout>
              <c:dLblPos val="outEnd"/>
              <c:showVal val="1"/>
            </c:dLbl>
            <c:dLbl>
              <c:idx val="4"/>
              <c:layout>
                <c:manualLayout>
                  <c:x val="2.8749026270060391E-2"/>
                  <c:y val="-4.4424460835243229E-3"/>
                </c:manualLayout>
              </c:layout>
              <c:dLblPos val="outEnd"/>
              <c:showVal val="1"/>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3157348</c:v>
                </c:pt>
                <c:pt idx="1">
                  <c:v>3092771</c:v>
                </c:pt>
                <c:pt idx="2">
                  <c:v>3054875</c:v>
                </c:pt>
                <c:pt idx="3">
                  <c:v>3018211</c:v>
                </c:pt>
                <c:pt idx="4">
                  <c:v>2982559</c:v>
                </c:pt>
              </c:numCache>
            </c:numRef>
          </c:val>
        </c:ser>
        <c:dLbls>
          <c:showVal val="1"/>
        </c:dLbls>
        <c:axId val="73908608"/>
        <c:axId val="73910144"/>
      </c:barChart>
      <c:catAx>
        <c:axId val="7390860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73910144"/>
        <c:crosses val="autoZero"/>
        <c:auto val="1"/>
        <c:lblAlgn val="ctr"/>
        <c:lblOffset val="100"/>
        <c:tickLblSkip val="1"/>
        <c:tickMarkSkip val="1"/>
      </c:catAx>
      <c:valAx>
        <c:axId val="73910144"/>
        <c:scaling>
          <c:orientation val="minMax"/>
        </c:scaling>
        <c:axPos val="l"/>
        <c:numFmt formatCode="#,##0;[Red]#,##0" sourceLinked="1"/>
        <c:majorTickMark val="in"/>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73908608"/>
        <c:crosses val="autoZero"/>
        <c:crossBetween val="between"/>
        <c:majorUnit val="100000"/>
      </c:valAx>
      <c:spPr>
        <a:solidFill>
          <a:srgbClr val="FFFFFF"/>
        </a:solidFill>
        <a:ln w="25400">
          <a:noFill/>
        </a:ln>
      </c:spPr>
    </c:plotArea>
    <c:legend>
      <c:legendPos val="b"/>
      <c:layout>
        <c:manualLayout>
          <c:xMode val="edge"/>
          <c:yMode val="edge"/>
          <c:x val="0.29641185647425938"/>
          <c:y val="0.86206896551723688"/>
          <c:w val="0.44305772230889445"/>
          <c:h val="0.10344827586206895"/>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ser>
          <c:idx val="1"/>
          <c:order val="0"/>
          <c:tx>
            <c:strRef>
              <c:f>Sheet1!$A$2</c:f>
              <c:strCache>
                <c:ptCount val="1"/>
                <c:pt idx="0">
                  <c:v>企業債（借入額）</c:v>
                </c:pt>
              </c:strCache>
            </c:strRef>
          </c:tx>
          <c:spPr>
            <a:solidFill>
              <a:srgbClr val="993366"/>
            </a:solidFill>
            <a:ln w="12700">
              <a:solidFill>
                <a:srgbClr val="000000"/>
              </a:solidFill>
              <a:prstDash val="solid"/>
            </a:ln>
          </c:spPr>
          <c:dLbls>
            <c:dLbl>
              <c:idx val="0"/>
              <c:layout>
                <c:manualLayout>
                  <c:x val="-1.293801339386158E-2"/>
                  <c:y val="-1.2033735083402103E-2"/>
                </c:manualLayout>
              </c:layout>
              <c:dLblPos val="outEnd"/>
              <c:showVal val="1"/>
            </c:dLbl>
            <c:dLbl>
              <c:idx val="1"/>
              <c:layout>
                <c:manualLayout>
                  <c:x val="-1.7953740195571864E-2"/>
                  <c:y val="-6.5173493777640513E-3"/>
                </c:manualLayout>
              </c:layout>
              <c:dLblPos val="outEnd"/>
              <c:showVal val="1"/>
            </c:dLbl>
            <c:dLbl>
              <c:idx val="2"/>
              <c:layout>
                <c:manualLayout>
                  <c:x val="-1.356507828254885E-2"/>
                  <c:y val="-3.2170193447611617E-3"/>
                </c:manualLayout>
              </c:layout>
              <c:dLblPos val="outEnd"/>
              <c:showVal val="1"/>
            </c:dLbl>
            <c:dLbl>
              <c:idx val="3"/>
              <c:layout>
                <c:manualLayout>
                  <c:x val="-1.8580643067474072E-2"/>
                  <c:y val="-6.5173493777640513E-3"/>
                </c:manualLayout>
              </c:layout>
              <c:dLblPos val="outEnd"/>
              <c:showVal val="1"/>
            </c:dLbl>
            <c:dLbl>
              <c:idx val="4"/>
              <c:layout>
                <c:manualLayout>
                  <c:x val="-1.4191981154450988E-2"/>
                  <c:y val="-3.2170193447611617E-3"/>
                </c:manualLayout>
              </c:layout>
              <c:dLblPos val="outEnd"/>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200000</c:v>
                </c:pt>
                <c:pt idx="1">
                  <c:v>200000</c:v>
                </c:pt>
                <c:pt idx="2">
                  <c:v>200000</c:v>
                </c:pt>
                <c:pt idx="3">
                  <c:v>200000</c:v>
                </c:pt>
                <c:pt idx="4">
                  <c:v>300000</c:v>
                </c:pt>
              </c:numCache>
            </c:numRef>
          </c:val>
        </c:ser>
        <c:ser>
          <c:idx val="2"/>
          <c:order val="2"/>
          <c:tx>
            <c:strRef>
              <c:f>Sheet1!$A$4</c:f>
              <c:strCache>
                <c:ptCount val="1"/>
                <c:pt idx="0">
                  <c:v>償還金(元金償還額）</c:v>
                </c:pt>
              </c:strCache>
            </c:strRef>
          </c:tx>
          <c:spPr>
            <a:noFill/>
            <a:ln w="12700">
              <a:solidFill>
                <a:srgbClr val="000000"/>
              </a:solidFill>
              <a:prstDash val="solid"/>
            </a:ln>
          </c:spPr>
          <c:dLbls>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Sheet1!$B$4:$F$4</c:f>
              <c:numCache>
                <c:formatCode>#,##0;[Red]#,##0</c:formatCode>
                <c:ptCount val="5"/>
                <c:pt idx="0">
                  <c:v>767482</c:v>
                </c:pt>
                <c:pt idx="1">
                  <c:v>462580</c:v>
                </c:pt>
                <c:pt idx="2">
                  <c:v>489548</c:v>
                </c:pt>
                <c:pt idx="3">
                  <c:v>413724</c:v>
                </c:pt>
                <c:pt idx="4">
                  <c:v>361453</c:v>
                </c:pt>
              </c:numCache>
            </c:numRef>
          </c:val>
        </c:ser>
        <c:axId val="76957568"/>
        <c:axId val="76959104"/>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Val val="1"/>
            </c:dLbl>
            <c:dLbl>
              <c:idx val="1"/>
              <c:layout>
                <c:manualLayout>
                  <c:x val="-4.7591992774965272E-2"/>
                  <c:y val="-5.4948108078398575E-2"/>
                </c:manualLayout>
              </c:layout>
              <c:dLblPos val="r"/>
              <c:showVal val="1"/>
            </c:dLbl>
            <c:dLbl>
              <c:idx val="2"/>
              <c:layout>
                <c:manualLayout>
                  <c:x val="-4.6338127100186831E-2"/>
                  <c:y val="-5.2651431730177022E-2"/>
                </c:manualLayout>
              </c:layout>
              <c:dLblPos val="r"/>
              <c:showVal val="1"/>
            </c:dLbl>
            <c:dLbl>
              <c:idx val="3"/>
              <c:layout>
                <c:manualLayout>
                  <c:x val="-4.9786455782775019E-2"/>
                  <c:y val="-5.5452943749759682E-2"/>
                </c:manualLayout>
              </c:layout>
              <c:dLblPos val="r"/>
              <c:showVal val="1"/>
            </c:dLbl>
            <c:dLbl>
              <c:idx val="4"/>
              <c:layout>
                <c:manualLayout>
                  <c:x val="-5.1667224329455828E-2"/>
                  <c:y val="-4.3298666210360631E-2"/>
                </c:manualLayout>
              </c:layout>
              <c:dLblPos val="r"/>
              <c:showVal val="1"/>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8104098</c:v>
                </c:pt>
                <c:pt idx="1">
                  <c:v>7841518</c:v>
                </c:pt>
                <c:pt idx="2">
                  <c:v>7551971</c:v>
                </c:pt>
                <c:pt idx="3">
                  <c:v>7338247</c:v>
                </c:pt>
                <c:pt idx="4">
                  <c:v>7276794</c:v>
                </c:pt>
              </c:numCache>
            </c:numRef>
          </c:val>
        </c:ser>
        <c:marker val="1"/>
        <c:axId val="76985856"/>
        <c:axId val="76987392"/>
      </c:lineChart>
      <c:catAx>
        <c:axId val="7695756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6959104"/>
        <c:crosses val="autoZero"/>
        <c:lblAlgn val="ctr"/>
        <c:lblOffset val="100"/>
        <c:tickLblSkip val="1"/>
        <c:tickMarkSkip val="1"/>
      </c:catAx>
      <c:valAx>
        <c:axId val="76959104"/>
        <c:scaling>
          <c:orientation val="minMax"/>
          <c:max val="140000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6957568"/>
        <c:crosses val="autoZero"/>
        <c:crossBetween val="between"/>
        <c:majorUnit val="200000"/>
      </c:valAx>
      <c:catAx>
        <c:axId val="76985856"/>
        <c:scaling>
          <c:orientation val="minMax"/>
        </c:scaling>
        <c:delete val="1"/>
        <c:axPos val="b"/>
        <c:tickLblPos val="none"/>
        <c:crossAx val="76987392"/>
        <c:crosses val="autoZero"/>
        <c:lblAlgn val="ctr"/>
        <c:lblOffset val="100"/>
      </c:catAx>
      <c:valAx>
        <c:axId val="76987392"/>
        <c:scaling>
          <c:orientation val="minMax"/>
          <c:max val="1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036"/>
              <c:y val="0.24422442244224588"/>
            </c:manualLayout>
          </c:layout>
          <c:spPr>
            <a:noFill/>
            <a:ln w="25399">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6985856"/>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323"/>
          <c:w val="0.6959247648902821"/>
          <c:h val="8.2508250825082508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1952181632149611"/>
          <c:y val="0.11504426353485478"/>
          <c:w val="0.85915492957746453"/>
          <c:h val="0.7168141592920354"/>
        </c:manualLayout>
      </c:layout>
      <c:lineChart>
        <c:grouping val="standard"/>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spPr>
              <a:ln w="15875" cap="sq">
                <a:solidFill>
                  <a:schemeClr val="tx1"/>
                </a:solidFill>
                <a:prstDash val="solid"/>
                <a:miter lim="800000"/>
              </a:ln>
            </c:spPr>
          </c:dPt>
          <c:dLbls>
            <c:txPr>
              <a:bodyPr/>
              <a:lstStyle/>
              <a:p>
                <a:pPr>
                  <a:defRPr sz="875" baseline="0"/>
                </a:pPr>
                <a:endParaRPr lang="ja-JP"/>
              </a:p>
            </c:txPr>
            <c:dLblPos val="t"/>
            <c:showVal val="1"/>
          </c:dLbls>
          <c:cat>
            <c:strRef>
              <c:f>Sheet1!$A$1:$E$1</c:f>
              <c:strCache>
                <c:ptCount val="5"/>
                <c:pt idx="0">
                  <c:v>21年度</c:v>
                </c:pt>
                <c:pt idx="1">
                  <c:v>22年度</c:v>
                </c:pt>
                <c:pt idx="2">
                  <c:v>23年度</c:v>
                </c:pt>
                <c:pt idx="3">
                  <c:v>24年度</c:v>
                </c:pt>
                <c:pt idx="4">
                  <c:v>25年度</c:v>
                </c:pt>
              </c:strCache>
            </c:strRef>
          </c:cat>
          <c:val>
            <c:numRef>
              <c:f>Sheet1!$A$2:$E$2</c:f>
              <c:numCache>
                <c:formatCode>#,##0;[Red]#,##0</c:formatCode>
                <c:ptCount val="5"/>
                <c:pt idx="0">
                  <c:v>74046</c:v>
                </c:pt>
                <c:pt idx="1">
                  <c:v>152960</c:v>
                </c:pt>
                <c:pt idx="2">
                  <c:v>86904</c:v>
                </c:pt>
                <c:pt idx="3">
                  <c:v>133366</c:v>
                </c:pt>
                <c:pt idx="4">
                  <c:v>94681</c:v>
                </c:pt>
              </c:numCache>
            </c:numRef>
          </c:val>
        </c:ser>
        <c:marker val="1"/>
        <c:axId val="76595584"/>
        <c:axId val="76597504"/>
      </c:lineChart>
      <c:catAx>
        <c:axId val="76595584"/>
        <c:scaling>
          <c:orientation val="minMax"/>
        </c:scaling>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　</a:t>
                </a:r>
                <a:r>
                  <a:rPr lang="en-US" altLang="ja-JP"/>
                  <a:t>21</a:t>
                </a:r>
                <a:r>
                  <a:rPr lang="ja-JP" altLang="en-US"/>
                  <a:t>年度　　　　　　</a:t>
                </a:r>
                <a:r>
                  <a:rPr lang="en-US" altLang="ja-JP"/>
                  <a:t>22</a:t>
                </a:r>
                <a:r>
                  <a:rPr lang="ja-JP" altLang="en-US"/>
                  <a:t>年度　　　　　　　</a:t>
                </a:r>
                <a:r>
                  <a:rPr lang="en-US" altLang="ja-JP"/>
                  <a:t>23</a:t>
                </a:r>
                <a:r>
                  <a:rPr lang="ja-JP" altLang="en-US"/>
                  <a:t>年度　　　　　　　</a:t>
                </a:r>
                <a:r>
                  <a:rPr lang="en-US" altLang="ja-JP"/>
                  <a:t>24</a:t>
                </a:r>
                <a:r>
                  <a:rPr lang="ja-JP" altLang="en-US"/>
                  <a:t>年度　　　　　</a:t>
                </a:r>
                <a:r>
                  <a:rPr lang="en-US" altLang="ja-JP"/>
                  <a:t>25</a:t>
                </a:r>
                <a:r>
                  <a:rPr lang="ja-JP" altLang="en-US"/>
                  <a:t>年度</a:t>
                </a:r>
              </a:p>
            </c:rich>
          </c:tx>
          <c:layout>
            <c:manualLayout>
              <c:xMode val="edge"/>
              <c:yMode val="edge"/>
              <c:x val="0.14857341599634424"/>
              <c:y val="0.8620819431469372"/>
            </c:manualLayout>
          </c:layout>
          <c:spPr>
            <a:noFill/>
            <a:ln w="25399">
              <a:noFill/>
            </a:ln>
          </c:spPr>
        </c:title>
        <c:numFmt formatCode="General" sourceLinked="1"/>
        <c:majorTickMark val="none"/>
        <c:tickLblPos val="nextTo"/>
        <c:txPr>
          <a:bodyPr rot="0" vert="horz"/>
          <a:lstStyle/>
          <a:p>
            <a:pPr>
              <a:defRPr baseline="0">
                <a:solidFill>
                  <a:schemeClr val="bg1"/>
                </a:solidFill>
              </a:defRPr>
            </a:pPr>
            <a:endParaRPr lang="ja-JP"/>
          </a:p>
        </c:txPr>
        <c:crossAx val="76597504"/>
        <c:crosses val="autoZero"/>
        <c:auto val="1"/>
        <c:lblAlgn val="ctr"/>
        <c:lblOffset val="100"/>
        <c:tickLblSkip val="1"/>
        <c:tickMarkSkip val="1"/>
      </c:catAx>
      <c:valAx>
        <c:axId val="76597504"/>
        <c:scaling>
          <c:orientation val="minMax"/>
        </c:scaling>
        <c:axPos val="l"/>
        <c:numFmt formatCode="#,##0;&quot;△ &quot;#,##0" sourceLinked="0"/>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6595584"/>
        <c:crosses val="autoZero"/>
        <c:crossBetween val="between"/>
        <c:majorUnit val="50000"/>
      </c:valAx>
      <c:spPr>
        <a:solidFill>
          <a:srgbClr val="FFFFFF"/>
        </a:solidFill>
        <a:ln w="3175">
          <a:solidFill>
            <a:srgbClr val="000000"/>
          </a:solidFill>
          <a:prstDash val="solid"/>
        </a:ln>
      </c:spPr>
    </c:plotArea>
    <c:plotVisOnly val="1"/>
    <c:dispBlanksAs val="gap"/>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6.4263322884012583E-2"/>
          <c:y val="0.11049723756906055"/>
          <c:w val="0.92163009404389706"/>
          <c:h val="0.55801104972375659"/>
        </c:manualLayout>
      </c:layout>
      <c:lineChart>
        <c:grouping val="standard"/>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Pos val="t"/>
            <c:showVal val="1"/>
          </c:dLbls>
          <c:cat>
            <c:strRef>
              <c:f>Sheet1!$B$1:$F$1</c:f>
              <c:strCache>
                <c:ptCount val="5"/>
                <c:pt idx="0">
                  <c:v>21年度</c:v>
                </c:pt>
                <c:pt idx="1">
                  <c:v>22年度</c:v>
                </c:pt>
                <c:pt idx="2">
                  <c:v>23年度</c:v>
                </c:pt>
                <c:pt idx="3">
                  <c:v>24年度</c:v>
                </c:pt>
                <c:pt idx="4">
                  <c:v>25年度</c:v>
                </c:pt>
              </c:strCache>
            </c:strRef>
          </c:cat>
          <c:val>
            <c:numRef>
              <c:f>Sheet1!$B$2:$F$2</c:f>
              <c:numCache>
                <c:formatCode>General</c:formatCode>
                <c:ptCount val="5"/>
                <c:pt idx="0">
                  <c:v>111.4</c:v>
                </c:pt>
                <c:pt idx="1">
                  <c:v>113.5</c:v>
                </c:pt>
                <c:pt idx="2">
                  <c:v>110.2</c:v>
                </c:pt>
                <c:pt idx="3">
                  <c:v>111.7</c:v>
                </c:pt>
                <c:pt idx="4" formatCode="0.0_ ">
                  <c:v>110</c:v>
                </c:pt>
              </c:numCache>
            </c:numRef>
          </c:val>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Pos val="t"/>
            <c:showVal val="1"/>
          </c:dLbls>
          <c:cat>
            <c:strRef>
              <c:f>Sheet1!$B$1:$F$1</c:f>
              <c:strCache>
                <c:ptCount val="5"/>
                <c:pt idx="0">
                  <c:v>21年度</c:v>
                </c:pt>
                <c:pt idx="1">
                  <c:v>22年度</c:v>
                </c:pt>
                <c:pt idx="2">
                  <c:v>23年度</c:v>
                </c:pt>
                <c:pt idx="3">
                  <c:v>24年度</c:v>
                </c:pt>
                <c:pt idx="4">
                  <c:v>25年度</c:v>
                </c:pt>
              </c:strCache>
            </c:strRef>
          </c:cat>
          <c:val>
            <c:numRef>
              <c:f>Sheet1!$B$3:$F$3</c:f>
              <c:numCache>
                <c:formatCode>General</c:formatCode>
                <c:ptCount val="5"/>
                <c:pt idx="0">
                  <c:v>102.4</c:v>
                </c:pt>
                <c:pt idx="1">
                  <c:v>105.2</c:v>
                </c:pt>
                <c:pt idx="2">
                  <c:v>102.9</c:v>
                </c:pt>
                <c:pt idx="3">
                  <c:v>104.6</c:v>
                </c:pt>
                <c:pt idx="4">
                  <c:v>103.3</c:v>
                </c:pt>
              </c:numCache>
            </c:numRef>
          </c:val>
        </c:ser>
        <c:ser>
          <c:idx val="2"/>
          <c:order val="2"/>
          <c:tx>
            <c:strRef>
              <c:f>Sheet1!$A$4</c:f>
              <c:strCache>
                <c:ptCount val="1"/>
              </c:strCache>
            </c:strRef>
          </c:tx>
          <c:cat>
            <c:strRef>
              <c:f>Sheet1!$B$1:$F$1</c:f>
              <c:strCache>
                <c:ptCount val="5"/>
                <c:pt idx="0">
                  <c:v>21年度</c:v>
                </c:pt>
                <c:pt idx="1">
                  <c:v>22年度</c:v>
                </c:pt>
                <c:pt idx="2">
                  <c:v>23年度</c:v>
                </c:pt>
                <c:pt idx="3">
                  <c:v>24年度</c:v>
                </c:pt>
                <c:pt idx="4">
                  <c:v>25年度</c:v>
                </c:pt>
              </c:strCache>
            </c:strRef>
          </c:cat>
          <c:val>
            <c:numRef>
              <c:f>Sheet1!$B$4:$F$4</c:f>
              <c:numCache>
                <c:formatCode>General</c:formatCode>
                <c:ptCount val="5"/>
              </c:numCache>
            </c:numRef>
          </c:val>
        </c:ser>
        <c:ser>
          <c:idx val="3"/>
          <c:order val="3"/>
          <c:tx>
            <c:strRef>
              <c:f>Sheet1!$A$5</c:f>
              <c:strCache>
                <c:ptCount val="1"/>
              </c:strCache>
            </c:strRef>
          </c:tx>
          <c:cat>
            <c:strRef>
              <c:f>Sheet1!$B$1:$F$1</c:f>
              <c:strCache>
                <c:ptCount val="5"/>
                <c:pt idx="0">
                  <c:v>21年度</c:v>
                </c:pt>
                <c:pt idx="1">
                  <c:v>22年度</c:v>
                </c:pt>
                <c:pt idx="2">
                  <c:v>23年度</c:v>
                </c:pt>
                <c:pt idx="3">
                  <c:v>24年度</c:v>
                </c:pt>
                <c:pt idx="4">
                  <c:v>25年度</c:v>
                </c:pt>
              </c:strCache>
            </c:strRef>
          </c:cat>
          <c:val>
            <c:numRef>
              <c:f>Sheet1!$B$5:$F$5</c:f>
              <c:numCache>
                <c:formatCode>General</c:formatCode>
                <c:ptCount val="5"/>
              </c:numCache>
            </c:numRef>
          </c:val>
        </c:ser>
        <c:dLbls>
          <c:showVal val="1"/>
        </c:dLbls>
        <c:marker val="1"/>
        <c:axId val="77055104"/>
        <c:axId val="77056640"/>
      </c:lineChart>
      <c:catAx>
        <c:axId val="77055104"/>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77056640"/>
        <c:crosses val="autoZero"/>
        <c:auto val="1"/>
        <c:lblAlgn val="ctr"/>
        <c:lblOffset val="100"/>
        <c:tickLblSkip val="1"/>
        <c:tickMarkSkip val="1"/>
      </c:catAx>
      <c:valAx>
        <c:axId val="77056640"/>
        <c:scaling>
          <c:orientation val="minMax"/>
        </c:scaling>
        <c:axPos val="l"/>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77055104"/>
        <c:crosses val="autoZero"/>
        <c:crossBetween val="between"/>
      </c:valAx>
      <c:spPr>
        <a:noFill/>
        <a:ln w="25399">
          <a:noFill/>
        </a:ln>
      </c:spPr>
    </c:plotArea>
    <c:legend>
      <c:legendPos val="b"/>
      <c:layout>
        <c:manualLayout>
          <c:xMode val="edge"/>
          <c:yMode val="edge"/>
          <c:x val="0.33337853601633138"/>
          <c:y val="0.844146706792541"/>
          <c:w val="0.37135073393603851"/>
          <c:h val="8.6642756042929189E-2"/>
        </c:manualLayout>
      </c:layout>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0.06481</cdr:x>
      <cdr:y>0.53403</cdr:y>
    </cdr:from>
    <cdr:to>
      <cdr:x>0.98125</cdr:x>
      <cdr:y>0.53403</cdr:y>
    </cdr:to>
    <cdr:sp macro="" textlink="">
      <cdr:nvSpPr>
        <cdr:cNvPr id="3" name="直線コネクタ 2"/>
        <cdr:cNvSpPr/>
      </cdr:nvSpPr>
      <cdr:spPr>
        <a:xfrm xmlns:a="http://schemas.openxmlformats.org/drawingml/2006/main">
          <a:off x="395082" y="971547"/>
          <a:ext cx="5586617" cy="3"/>
        </a:xfrm>
        <a:prstGeom xmlns:a="http://schemas.openxmlformats.org/drawingml/2006/main" prst="line">
          <a:avLst/>
        </a:prstGeom>
        <a:ln xmlns:a="http://schemas.openxmlformats.org/drawingml/2006/main">
          <a:solidFill>
            <a:schemeClr val="tx1"/>
          </a:solidFill>
          <a:prstDash val="lgDash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B7DCF-D6ED-4024-9F8C-9CE7A95D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20</Pages>
  <Words>1299</Words>
  <Characters>7409</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18</cp:revision>
  <cp:lastPrinted>2014-08-21T00:52:00Z</cp:lastPrinted>
  <dcterms:created xsi:type="dcterms:W3CDTF">2013-09-11T05:37:00Z</dcterms:created>
  <dcterms:modified xsi:type="dcterms:W3CDTF">2014-08-27T01:25:00Z</dcterms:modified>
</cp:coreProperties>
</file>