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A2" w:rsidRPr="00FD2036" w:rsidRDefault="00E205A2" w:rsidP="00E205A2">
      <w:pPr>
        <w:jc w:val="center"/>
        <w:rPr>
          <w:rFonts w:ascii="ＭＳ ゴシック" w:eastAsia="ＭＳ ゴシック" w:hAnsi="ＭＳ ゴシック"/>
          <w:sz w:val="28"/>
          <w:szCs w:val="28"/>
        </w:rPr>
      </w:pPr>
      <w:r w:rsidRPr="00FD2036">
        <w:rPr>
          <w:rFonts w:ascii="ＭＳ ゴシック" w:eastAsia="ＭＳ ゴシック" w:hAnsi="ＭＳ ゴシック" w:hint="eastAsia"/>
          <w:sz w:val="28"/>
          <w:szCs w:val="28"/>
        </w:rPr>
        <w:t>水　道　事　業　会　計</w:t>
      </w:r>
    </w:p>
    <w:p w:rsidR="00E205A2" w:rsidRPr="002E0612" w:rsidRDefault="00E205A2" w:rsidP="00E205A2">
      <w:pPr>
        <w:rPr>
          <w:rFonts w:hAnsi="ＭＳ 明朝"/>
          <w:szCs w:val="24"/>
        </w:rPr>
      </w:pPr>
    </w:p>
    <w:p w:rsidR="00E205A2" w:rsidRPr="00A77631" w:rsidRDefault="00E205A2" w:rsidP="0097237B">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0097237B" w:rsidRPr="00A77631">
        <w:rPr>
          <w:rFonts w:ascii="ＭＳ ゴシック" w:eastAsia="ＭＳ ゴシック" w:hAnsi="ＭＳ ゴシック"/>
          <w:spacing w:val="4"/>
          <w:szCs w:val="24"/>
        </w:rPr>
        <w:tab/>
      </w:r>
    </w:p>
    <w:p w:rsidR="006829E0" w:rsidRDefault="00E205A2" w:rsidP="00771832">
      <w:pPr>
        <w:ind w:left="249" w:hangingChars="100" w:hanging="249"/>
        <w:jc w:val="distribute"/>
        <w:rPr>
          <w:rFonts w:hAnsi="ＭＳ 明朝"/>
          <w:spacing w:val="4"/>
          <w:szCs w:val="24"/>
        </w:rPr>
      </w:pPr>
      <w:r w:rsidRPr="00A77631">
        <w:rPr>
          <w:rFonts w:hAnsi="ＭＳ 明朝" w:hint="eastAsia"/>
          <w:spacing w:val="4"/>
          <w:szCs w:val="24"/>
        </w:rPr>
        <w:t xml:space="preserve">　　平成</w:t>
      </w:r>
      <w:r w:rsidR="00B14E98" w:rsidRPr="00157D55">
        <w:rPr>
          <w:rFonts w:hAnsi="ＭＳ 明朝" w:hint="eastAsia"/>
          <w:spacing w:val="4"/>
          <w:szCs w:val="24"/>
        </w:rPr>
        <w:t>2</w:t>
      </w:r>
      <w:r w:rsidR="00BC37C2" w:rsidRPr="00157D55">
        <w:rPr>
          <w:rFonts w:hAnsi="ＭＳ 明朝" w:hint="eastAsia"/>
          <w:spacing w:val="4"/>
          <w:szCs w:val="24"/>
        </w:rPr>
        <w:t>8</w:t>
      </w:r>
      <w:r w:rsidR="00C50466">
        <w:rPr>
          <w:rFonts w:hAnsi="ＭＳ 明朝" w:hint="eastAsia"/>
          <w:spacing w:val="4"/>
          <w:szCs w:val="24"/>
        </w:rPr>
        <w:t>年度の給水人口は</w:t>
      </w:r>
      <w:r w:rsidR="00BC37C2" w:rsidRPr="00157D55">
        <w:rPr>
          <w:rFonts w:hAnsi="ＭＳ 明朝" w:hint="eastAsia"/>
          <w:spacing w:val="4"/>
          <w:szCs w:val="24"/>
        </w:rPr>
        <w:t>147,832</w:t>
      </w:r>
      <w:r w:rsidRPr="00157D55">
        <w:rPr>
          <w:rFonts w:hAnsi="ＭＳ 明朝" w:hint="eastAsia"/>
          <w:spacing w:val="4"/>
          <w:szCs w:val="24"/>
        </w:rPr>
        <w:t>人で、前年度に比べ</w:t>
      </w:r>
      <w:r w:rsidR="00904489" w:rsidRPr="00157D55">
        <w:rPr>
          <w:rFonts w:hAnsi="ＭＳ 明朝" w:hint="eastAsia"/>
          <w:spacing w:val="4"/>
          <w:szCs w:val="24"/>
        </w:rPr>
        <w:t>911</w:t>
      </w:r>
      <w:r w:rsidR="002359C2" w:rsidRPr="00157D55">
        <w:rPr>
          <w:rFonts w:hAnsi="ＭＳ 明朝" w:hint="eastAsia"/>
          <w:spacing w:val="4"/>
          <w:szCs w:val="24"/>
        </w:rPr>
        <w:t>人(</w:t>
      </w:r>
      <w:r w:rsidRPr="00157D55">
        <w:rPr>
          <w:rFonts w:hAnsi="ＭＳ 明朝" w:hint="eastAsia"/>
          <w:spacing w:val="4"/>
          <w:szCs w:val="24"/>
        </w:rPr>
        <w:t>△</w:t>
      </w:r>
      <w:r w:rsidR="00771832" w:rsidRPr="00157D55">
        <w:rPr>
          <w:rFonts w:hAnsi="ＭＳ 明朝" w:hint="eastAsia"/>
          <w:spacing w:val="4"/>
          <w:szCs w:val="24"/>
        </w:rPr>
        <w:t>0.6</w:t>
      </w:r>
      <w:r w:rsidR="002359C2">
        <w:rPr>
          <w:rFonts w:hAnsi="ＭＳ 明朝" w:hint="eastAsia"/>
          <w:spacing w:val="4"/>
          <w:szCs w:val="24"/>
        </w:rPr>
        <w:t>％)</w:t>
      </w:r>
      <w:r w:rsidR="00C50466">
        <w:rPr>
          <w:rFonts w:hAnsi="ＭＳ 明朝" w:hint="eastAsia"/>
          <w:spacing w:val="4"/>
          <w:szCs w:val="24"/>
        </w:rPr>
        <w:t>、行政区域内人口は</w:t>
      </w:r>
      <w:r w:rsidR="00771832" w:rsidRPr="00157D55">
        <w:rPr>
          <w:rFonts w:hAnsi="ＭＳ 明朝" w:hint="eastAsia"/>
          <w:spacing w:val="4"/>
          <w:szCs w:val="24"/>
        </w:rPr>
        <w:t>160,524</w:t>
      </w:r>
      <w:r w:rsidRPr="00A77631">
        <w:rPr>
          <w:rFonts w:hAnsi="ＭＳ 明朝" w:hint="eastAsia"/>
          <w:spacing w:val="4"/>
          <w:szCs w:val="24"/>
        </w:rPr>
        <w:t>人で、前年度に比べ</w:t>
      </w:r>
      <w:r w:rsidR="00771832" w:rsidRPr="00157D55">
        <w:rPr>
          <w:rFonts w:hAnsi="ＭＳ 明朝" w:hint="eastAsia"/>
          <w:spacing w:val="4"/>
          <w:szCs w:val="24"/>
        </w:rPr>
        <w:t>1,055</w:t>
      </w:r>
      <w:r w:rsidR="002359C2">
        <w:rPr>
          <w:rFonts w:hAnsi="ＭＳ 明朝" w:hint="eastAsia"/>
          <w:spacing w:val="4"/>
          <w:szCs w:val="24"/>
        </w:rPr>
        <w:t>人(</w:t>
      </w:r>
      <w:r w:rsidRPr="00A77631">
        <w:rPr>
          <w:rFonts w:hAnsi="ＭＳ 明朝" w:hint="eastAsia"/>
          <w:spacing w:val="4"/>
          <w:szCs w:val="24"/>
        </w:rPr>
        <w:t>△</w:t>
      </w:r>
      <w:r w:rsidR="00771832" w:rsidRPr="00157D55">
        <w:rPr>
          <w:rFonts w:hAnsi="ＭＳ 明朝" w:hint="eastAsia"/>
          <w:spacing w:val="4"/>
          <w:szCs w:val="24"/>
        </w:rPr>
        <w:t>0.7</w:t>
      </w:r>
      <w:r w:rsidR="002359C2">
        <w:rPr>
          <w:rFonts w:hAnsi="ＭＳ 明朝" w:hint="eastAsia"/>
          <w:spacing w:val="4"/>
          <w:szCs w:val="24"/>
        </w:rPr>
        <w:t>％)</w:t>
      </w:r>
      <w:r w:rsidRPr="00A77631">
        <w:rPr>
          <w:rFonts w:hAnsi="ＭＳ 明朝" w:hint="eastAsia"/>
          <w:spacing w:val="4"/>
          <w:szCs w:val="24"/>
        </w:rPr>
        <w:t>とそれぞれ減少し</w:t>
      </w:r>
      <w:r w:rsidR="00B4157E">
        <w:rPr>
          <w:rFonts w:hAnsi="ＭＳ 明朝" w:hint="eastAsia"/>
          <w:spacing w:val="4"/>
          <w:szCs w:val="24"/>
        </w:rPr>
        <w:t>ており</w:t>
      </w:r>
      <w:r w:rsidRPr="00A77631">
        <w:rPr>
          <w:rFonts w:hAnsi="ＭＳ 明朝" w:hint="eastAsia"/>
          <w:spacing w:val="4"/>
          <w:szCs w:val="24"/>
        </w:rPr>
        <w:t>、</w:t>
      </w:r>
    </w:p>
    <w:p w:rsidR="00E205A2" w:rsidRPr="00A77631" w:rsidRDefault="00E205A2" w:rsidP="006829E0">
      <w:pPr>
        <w:ind w:leftChars="100" w:left="241"/>
        <w:rPr>
          <w:rFonts w:hAnsi="ＭＳ 明朝"/>
          <w:spacing w:val="4"/>
          <w:szCs w:val="24"/>
        </w:rPr>
      </w:pPr>
      <w:r w:rsidRPr="00A77631">
        <w:rPr>
          <w:rFonts w:hAnsi="ＭＳ 明朝" w:hint="eastAsia"/>
          <w:spacing w:val="4"/>
          <w:szCs w:val="24"/>
        </w:rPr>
        <w:t>普及率は</w:t>
      </w:r>
      <w:r w:rsidR="00DB41CE" w:rsidRPr="00157D55">
        <w:rPr>
          <w:rFonts w:hAnsi="ＭＳ 明朝" w:hint="eastAsia"/>
          <w:spacing w:val="4"/>
          <w:szCs w:val="24"/>
        </w:rPr>
        <w:t>92.1</w:t>
      </w:r>
      <w:r w:rsidR="00B4157E">
        <w:rPr>
          <w:rFonts w:hAnsi="ＭＳ 明朝" w:hint="eastAsia"/>
          <w:spacing w:val="4"/>
          <w:szCs w:val="24"/>
        </w:rPr>
        <w:t>％</w:t>
      </w:r>
      <w:r w:rsidR="00697C50">
        <w:rPr>
          <w:rFonts w:hAnsi="ＭＳ 明朝" w:hint="eastAsia"/>
          <w:spacing w:val="4"/>
          <w:szCs w:val="24"/>
        </w:rPr>
        <w:t>で、</w:t>
      </w:r>
      <w:r w:rsidR="005829AA">
        <w:rPr>
          <w:rFonts w:hAnsi="ＭＳ 明朝" w:hint="eastAsia"/>
          <w:spacing w:val="4"/>
          <w:szCs w:val="24"/>
        </w:rPr>
        <w:t>前年度と</w:t>
      </w:r>
      <w:r w:rsidR="00157D55" w:rsidRPr="00E626D1">
        <w:rPr>
          <w:rFonts w:hAnsi="ＭＳ 明朝" w:hint="eastAsia"/>
          <w:spacing w:val="4"/>
          <w:szCs w:val="24"/>
        </w:rPr>
        <w:t>同率</w:t>
      </w:r>
      <w:r w:rsidR="005829AA">
        <w:rPr>
          <w:rFonts w:hAnsi="ＭＳ 明朝" w:hint="eastAsia"/>
          <w:spacing w:val="4"/>
          <w:szCs w:val="24"/>
        </w:rPr>
        <w:t>であ</w:t>
      </w:r>
      <w:r w:rsidR="00DB41CE">
        <w:rPr>
          <w:rFonts w:hAnsi="ＭＳ 明朝" w:hint="eastAsia"/>
          <w:spacing w:val="4"/>
          <w:szCs w:val="24"/>
        </w:rPr>
        <w:t>る。</w:t>
      </w:r>
    </w:p>
    <w:p w:rsidR="00B818E2" w:rsidRPr="00771832" w:rsidRDefault="00E205A2" w:rsidP="00771832">
      <w:pPr>
        <w:ind w:left="249" w:hangingChars="100" w:hanging="249"/>
        <w:rPr>
          <w:rFonts w:hAnsi="ＭＳ 明朝"/>
          <w:spacing w:val="6"/>
          <w:w w:val="97"/>
          <w:kern w:val="0"/>
          <w:szCs w:val="24"/>
        </w:rPr>
      </w:pPr>
      <w:r w:rsidRPr="00A77631">
        <w:rPr>
          <w:rFonts w:hAnsi="ＭＳ 明朝" w:hint="eastAsia"/>
          <w:spacing w:val="4"/>
          <w:szCs w:val="24"/>
        </w:rPr>
        <w:t xml:space="preserve">　　</w:t>
      </w:r>
      <w:r w:rsidRPr="005820BF">
        <w:rPr>
          <w:rFonts w:hAnsi="ＭＳ 明朝" w:hint="eastAsia"/>
          <w:kern w:val="0"/>
          <w:szCs w:val="24"/>
        </w:rPr>
        <w:t>給水栓数は</w:t>
      </w:r>
      <w:r w:rsidR="00771832" w:rsidRPr="005820BF">
        <w:rPr>
          <w:rFonts w:hAnsi="ＭＳ 明朝" w:hint="eastAsia"/>
          <w:kern w:val="0"/>
          <w:szCs w:val="24"/>
        </w:rPr>
        <w:t>62,291</w:t>
      </w:r>
      <w:r w:rsidRPr="005820BF">
        <w:rPr>
          <w:rFonts w:hAnsi="ＭＳ 明朝" w:hint="eastAsia"/>
          <w:kern w:val="0"/>
          <w:szCs w:val="24"/>
        </w:rPr>
        <w:t>栓で、前年度に比べ</w:t>
      </w:r>
      <w:r w:rsidR="00DB41CE" w:rsidRPr="005820BF">
        <w:rPr>
          <w:rFonts w:hAnsi="ＭＳ 明朝" w:hint="eastAsia"/>
          <w:kern w:val="0"/>
          <w:szCs w:val="24"/>
        </w:rPr>
        <w:t>2</w:t>
      </w:r>
      <w:r w:rsidR="00771832" w:rsidRPr="005820BF">
        <w:rPr>
          <w:rFonts w:hAnsi="ＭＳ 明朝" w:hint="eastAsia"/>
          <w:kern w:val="0"/>
          <w:szCs w:val="24"/>
        </w:rPr>
        <w:t>99</w:t>
      </w:r>
      <w:r w:rsidR="002359C2" w:rsidRPr="005820BF">
        <w:rPr>
          <w:rFonts w:hAnsi="ＭＳ 明朝" w:hint="eastAsia"/>
          <w:kern w:val="0"/>
          <w:szCs w:val="24"/>
        </w:rPr>
        <w:t>栓(</w:t>
      </w:r>
      <w:r w:rsidR="00A842E7" w:rsidRPr="005820BF">
        <w:rPr>
          <w:rFonts w:hAnsi="ＭＳ 明朝" w:hint="eastAsia"/>
          <w:kern w:val="0"/>
          <w:szCs w:val="24"/>
        </w:rPr>
        <w:t>△</w:t>
      </w:r>
      <w:r w:rsidRPr="005820BF">
        <w:rPr>
          <w:rFonts w:hAnsi="ＭＳ 明朝" w:hint="eastAsia"/>
          <w:kern w:val="0"/>
          <w:szCs w:val="24"/>
        </w:rPr>
        <w:t>0.</w:t>
      </w:r>
      <w:r w:rsidR="00771832" w:rsidRPr="005820BF">
        <w:rPr>
          <w:rFonts w:hAnsi="ＭＳ 明朝" w:hint="eastAsia"/>
          <w:kern w:val="0"/>
          <w:szCs w:val="24"/>
        </w:rPr>
        <w:t>5</w:t>
      </w:r>
      <w:r w:rsidR="002359C2" w:rsidRPr="005820BF">
        <w:rPr>
          <w:rFonts w:hAnsi="ＭＳ 明朝" w:hint="eastAsia"/>
          <w:kern w:val="0"/>
          <w:szCs w:val="24"/>
        </w:rPr>
        <w:t>％)</w:t>
      </w:r>
      <w:r w:rsidR="00B4157E" w:rsidRPr="005820BF">
        <w:rPr>
          <w:rFonts w:hAnsi="ＭＳ 明朝" w:hint="eastAsia"/>
          <w:kern w:val="0"/>
          <w:szCs w:val="24"/>
        </w:rPr>
        <w:t>減少</w:t>
      </w:r>
      <w:r w:rsidRPr="005820BF">
        <w:rPr>
          <w:rFonts w:hAnsi="ＭＳ 明朝" w:hint="eastAsia"/>
          <w:kern w:val="0"/>
          <w:szCs w:val="24"/>
        </w:rPr>
        <w:t>し、導・送・配水管の</w:t>
      </w:r>
      <w:r w:rsidR="005820BF">
        <w:rPr>
          <w:rFonts w:hAnsi="ＭＳ 明朝" w:hint="eastAsia"/>
          <w:kern w:val="0"/>
          <w:szCs w:val="24"/>
        </w:rPr>
        <w:t>総</w:t>
      </w:r>
    </w:p>
    <w:p w:rsidR="00BD4BD4" w:rsidRPr="00A77631" w:rsidRDefault="00E205A2" w:rsidP="00B818E2">
      <w:pPr>
        <w:ind w:leftChars="100" w:left="241"/>
        <w:rPr>
          <w:rFonts w:hAnsi="ＭＳ 明朝"/>
          <w:spacing w:val="4"/>
          <w:szCs w:val="24"/>
        </w:rPr>
      </w:pPr>
      <w:r w:rsidRPr="00A77631">
        <w:rPr>
          <w:rFonts w:hAnsi="ＭＳ 明朝" w:hint="eastAsia"/>
          <w:spacing w:val="4"/>
          <w:szCs w:val="24"/>
        </w:rPr>
        <w:t>延長は、</w:t>
      </w:r>
      <w:r w:rsidR="00771832" w:rsidRPr="00157D55">
        <w:rPr>
          <w:rFonts w:hAnsi="ＭＳ 明朝" w:hint="eastAsia"/>
          <w:spacing w:val="4"/>
          <w:szCs w:val="24"/>
        </w:rPr>
        <w:t>1,099.8</w:t>
      </w:r>
      <w:r w:rsidRPr="00A77631">
        <w:rPr>
          <w:rFonts w:hAnsi="ＭＳ 明朝" w:hint="eastAsia"/>
          <w:spacing w:val="4"/>
          <w:szCs w:val="24"/>
        </w:rPr>
        <w:t>㎞</w:t>
      </w:r>
      <w:r w:rsidR="00EC351A">
        <w:rPr>
          <w:rFonts w:hAnsi="ＭＳ 明朝" w:hint="eastAsia"/>
          <w:spacing w:val="4"/>
          <w:szCs w:val="24"/>
        </w:rPr>
        <w:t>となり</w:t>
      </w:r>
      <w:r w:rsidRPr="00A77631">
        <w:rPr>
          <w:rFonts w:hAnsi="ＭＳ 明朝" w:hint="eastAsia"/>
          <w:spacing w:val="4"/>
          <w:szCs w:val="24"/>
        </w:rPr>
        <w:t>、前年度に比べ</w:t>
      </w:r>
      <w:r w:rsidR="00771832" w:rsidRPr="00157D55">
        <w:rPr>
          <w:rFonts w:hAnsi="ＭＳ 明朝" w:hint="eastAsia"/>
          <w:spacing w:val="4"/>
          <w:szCs w:val="24"/>
        </w:rPr>
        <w:t>5.2</w:t>
      </w:r>
      <w:r w:rsidR="002359C2">
        <w:rPr>
          <w:rFonts w:hAnsi="ＭＳ 明朝" w:hint="eastAsia"/>
          <w:spacing w:val="4"/>
          <w:szCs w:val="24"/>
        </w:rPr>
        <w:t>㎞(</w:t>
      </w:r>
      <w:r w:rsidRPr="00157D55">
        <w:rPr>
          <w:rFonts w:hAnsi="ＭＳ 明朝" w:hint="eastAsia"/>
          <w:spacing w:val="4"/>
          <w:szCs w:val="24"/>
        </w:rPr>
        <w:t>0.</w:t>
      </w:r>
      <w:r w:rsidR="000B0FD4" w:rsidRPr="00157D55">
        <w:rPr>
          <w:rFonts w:hAnsi="ＭＳ 明朝" w:hint="eastAsia"/>
          <w:spacing w:val="4"/>
          <w:szCs w:val="24"/>
        </w:rPr>
        <w:t>5</w:t>
      </w:r>
      <w:r w:rsidR="002359C2">
        <w:rPr>
          <w:rFonts w:hAnsi="ＭＳ 明朝" w:hint="eastAsia"/>
          <w:spacing w:val="4"/>
          <w:szCs w:val="24"/>
        </w:rPr>
        <w:t>％)</w:t>
      </w:r>
      <w:r w:rsidRPr="00A77631">
        <w:rPr>
          <w:rFonts w:hAnsi="ＭＳ 明朝" w:hint="eastAsia"/>
          <w:spacing w:val="4"/>
          <w:szCs w:val="24"/>
        </w:rPr>
        <w:t>延びている。</w:t>
      </w:r>
    </w:p>
    <w:p w:rsidR="00E205A2" w:rsidRPr="003C0C23" w:rsidRDefault="00EC2CCA" w:rsidP="006829E0">
      <w:pPr>
        <w:ind w:leftChars="1" w:left="248" w:hangingChars="99" w:hanging="246"/>
        <w:rPr>
          <w:rFonts w:hAnsi="ＭＳ 明朝"/>
          <w:szCs w:val="24"/>
        </w:rPr>
      </w:pPr>
      <w:r w:rsidRPr="00A77631">
        <w:rPr>
          <w:rFonts w:hAnsi="ＭＳ 明朝" w:hint="eastAsia"/>
          <w:spacing w:val="4"/>
          <w:szCs w:val="24"/>
        </w:rPr>
        <w:t xml:space="preserve">　　</w:t>
      </w:r>
      <w:r w:rsidRPr="003C0C23">
        <w:rPr>
          <w:rFonts w:hAnsi="ＭＳ 明朝" w:hint="eastAsia"/>
          <w:szCs w:val="24"/>
        </w:rPr>
        <w:t>配水状況</w:t>
      </w:r>
      <w:r w:rsidR="003C0C23" w:rsidRPr="003C0C23">
        <w:rPr>
          <w:rFonts w:hAnsi="ＭＳ 明朝" w:hint="eastAsia"/>
          <w:szCs w:val="24"/>
        </w:rPr>
        <w:t>で</w:t>
      </w:r>
      <w:r w:rsidRPr="003C0C23">
        <w:rPr>
          <w:rFonts w:hAnsi="ＭＳ 明朝" w:hint="eastAsia"/>
          <w:szCs w:val="24"/>
        </w:rPr>
        <w:t>は、総配水量が</w:t>
      </w:r>
      <w:r w:rsidR="003C0C23" w:rsidRPr="003C0C23">
        <w:rPr>
          <w:rFonts w:hAnsi="ＭＳ 明朝" w:hint="eastAsia"/>
          <w:szCs w:val="24"/>
        </w:rPr>
        <w:t xml:space="preserve"> </w:t>
      </w:r>
      <w:r w:rsidR="00771832" w:rsidRPr="00157D55">
        <w:rPr>
          <w:rFonts w:hAnsi="ＭＳ 明朝" w:hint="eastAsia"/>
          <w:szCs w:val="24"/>
        </w:rPr>
        <w:t>15,677,55</w:t>
      </w:r>
      <w:r w:rsidR="00DB41CE" w:rsidRPr="00157D55">
        <w:rPr>
          <w:rFonts w:hAnsi="ＭＳ 明朝" w:hint="eastAsia"/>
          <w:szCs w:val="24"/>
        </w:rPr>
        <w:t>0</w:t>
      </w:r>
      <w:r w:rsidR="00A77631" w:rsidRPr="003C0C23">
        <w:rPr>
          <w:rFonts w:hAnsi="ＭＳ 明朝" w:hint="eastAsia"/>
          <w:szCs w:val="24"/>
        </w:rPr>
        <w:t>㎥</w:t>
      </w:r>
      <w:r w:rsidR="003C0C23" w:rsidRPr="003C0C23">
        <w:rPr>
          <w:rFonts w:hAnsi="ＭＳ 明朝" w:hint="eastAsia"/>
          <w:szCs w:val="24"/>
        </w:rPr>
        <w:t xml:space="preserve"> </w:t>
      </w:r>
      <w:r w:rsidR="00A77631" w:rsidRPr="003C0C23">
        <w:rPr>
          <w:rFonts w:hAnsi="ＭＳ 明朝" w:hint="eastAsia"/>
          <w:szCs w:val="24"/>
        </w:rPr>
        <w:t>となっており</w:t>
      </w:r>
      <w:r w:rsidR="00E205A2" w:rsidRPr="003C0C23">
        <w:rPr>
          <w:rFonts w:hAnsi="ＭＳ 明朝" w:hint="eastAsia"/>
          <w:szCs w:val="24"/>
        </w:rPr>
        <w:t>、前年度に比べ</w:t>
      </w:r>
      <w:r w:rsidR="003C0C23" w:rsidRPr="003C0C23">
        <w:rPr>
          <w:rFonts w:hAnsi="ＭＳ 明朝" w:hint="eastAsia"/>
          <w:szCs w:val="24"/>
        </w:rPr>
        <w:t xml:space="preserve"> </w:t>
      </w:r>
      <w:r w:rsidR="00157D55" w:rsidRPr="00E626D1">
        <w:rPr>
          <w:rFonts w:hAnsi="ＭＳ 明朝" w:hint="eastAsia"/>
          <w:szCs w:val="24"/>
        </w:rPr>
        <w:t>130,05</w:t>
      </w:r>
      <w:r w:rsidR="00DB41CE" w:rsidRPr="00E626D1">
        <w:rPr>
          <w:rFonts w:hAnsi="ＭＳ 明朝" w:hint="eastAsia"/>
          <w:szCs w:val="24"/>
        </w:rPr>
        <w:t>0</w:t>
      </w:r>
      <w:r w:rsidR="00091E33">
        <w:rPr>
          <w:rFonts w:hAnsi="ＭＳ 明朝" w:hint="eastAsia"/>
          <w:szCs w:val="24"/>
        </w:rPr>
        <w:t>㎥</w:t>
      </w:r>
      <w:r w:rsidR="007217E6">
        <w:rPr>
          <w:rFonts w:hAnsi="ＭＳ 明朝" w:hint="eastAsia"/>
          <w:szCs w:val="24"/>
        </w:rPr>
        <w:t>（△0.8％）</w:t>
      </w:r>
      <w:r w:rsidRPr="003C0C23">
        <w:rPr>
          <w:rFonts w:hAnsi="ＭＳ 明朝" w:hint="eastAsia"/>
          <w:szCs w:val="24"/>
        </w:rPr>
        <w:t>、有収水量が</w:t>
      </w:r>
      <w:r w:rsidR="005829AA" w:rsidRPr="00157D55">
        <w:rPr>
          <w:rFonts w:hAnsi="ＭＳ 明朝" w:hint="eastAsia"/>
          <w:szCs w:val="24"/>
        </w:rPr>
        <w:t>14,202,930</w:t>
      </w:r>
      <w:r w:rsidR="00E205A2" w:rsidRPr="003C0C23">
        <w:rPr>
          <w:rFonts w:hAnsi="ＭＳ 明朝" w:hint="eastAsia"/>
          <w:szCs w:val="24"/>
        </w:rPr>
        <w:t>㎥で、</w:t>
      </w:r>
      <w:r w:rsidR="00157D55" w:rsidRPr="00E626D1">
        <w:rPr>
          <w:rFonts w:hAnsi="ＭＳ 明朝" w:hint="eastAsia"/>
          <w:szCs w:val="24"/>
        </w:rPr>
        <w:t>23,913</w:t>
      </w:r>
      <w:r w:rsidR="002359C2">
        <w:rPr>
          <w:rFonts w:hAnsi="ＭＳ 明朝" w:hint="eastAsia"/>
          <w:szCs w:val="24"/>
        </w:rPr>
        <w:t>㎥</w:t>
      </w:r>
      <w:r w:rsidR="007217E6">
        <w:rPr>
          <w:rFonts w:hAnsi="ＭＳ 明朝" w:hint="eastAsia"/>
          <w:szCs w:val="24"/>
        </w:rPr>
        <w:t>（△0.2</w:t>
      </w:r>
      <w:r w:rsidR="001003BF">
        <w:rPr>
          <w:rFonts w:hAnsi="ＭＳ 明朝" w:hint="eastAsia"/>
          <w:szCs w:val="24"/>
        </w:rPr>
        <w:t>％）</w:t>
      </w:r>
      <w:r w:rsidR="00FD2036" w:rsidRPr="003C0C23">
        <w:rPr>
          <w:rFonts w:hAnsi="ＭＳ 明朝" w:hint="eastAsia"/>
          <w:szCs w:val="24"/>
        </w:rPr>
        <w:t>とそれぞれ減少している。</w:t>
      </w:r>
    </w:p>
    <w:p w:rsidR="003F4D77" w:rsidRDefault="00FD2036" w:rsidP="00A77631">
      <w:pPr>
        <w:ind w:left="249" w:hangingChars="100" w:hanging="249"/>
        <w:rPr>
          <w:rFonts w:hAnsi="ＭＳ 明朝"/>
          <w:szCs w:val="24"/>
        </w:rPr>
      </w:pPr>
      <w:r w:rsidRPr="00A77631">
        <w:rPr>
          <w:rFonts w:hAnsi="ＭＳ 明朝" w:hint="eastAsia"/>
          <w:spacing w:val="4"/>
          <w:szCs w:val="24"/>
        </w:rPr>
        <w:t xml:space="preserve">　　</w:t>
      </w:r>
      <w:r w:rsidRPr="003C0C23">
        <w:rPr>
          <w:rFonts w:hAnsi="ＭＳ 明朝" w:hint="eastAsia"/>
          <w:szCs w:val="24"/>
        </w:rPr>
        <w:t>これは、給水人口の減少や</w:t>
      </w:r>
      <w:r w:rsidR="00830109">
        <w:rPr>
          <w:rFonts w:hAnsi="ＭＳ 明朝" w:hint="eastAsia"/>
          <w:szCs w:val="24"/>
        </w:rPr>
        <w:t>節水型社会への進展</w:t>
      </w:r>
      <w:r w:rsidR="003C0C23" w:rsidRPr="003C0C23">
        <w:rPr>
          <w:rFonts w:hAnsi="ＭＳ 明朝" w:hint="eastAsia"/>
          <w:szCs w:val="24"/>
        </w:rPr>
        <w:t>など</w:t>
      </w:r>
      <w:r w:rsidR="00830109">
        <w:rPr>
          <w:rFonts w:hAnsi="ＭＳ 明朝" w:hint="eastAsia"/>
          <w:szCs w:val="24"/>
        </w:rPr>
        <w:t>の要因により</w:t>
      </w:r>
      <w:r w:rsidR="003C0C23" w:rsidRPr="003C0C23">
        <w:rPr>
          <w:rFonts w:hAnsi="ＭＳ 明朝" w:hint="eastAsia"/>
          <w:szCs w:val="24"/>
        </w:rPr>
        <w:t>、</w:t>
      </w:r>
      <w:r w:rsidR="00EC2CCA" w:rsidRPr="003C0C23">
        <w:rPr>
          <w:rFonts w:hAnsi="ＭＳ 明朝" w:hint="eastAsia"/>
          <w:szCs w:val="24"/>
        </w:rPr>
        <w:t>水道使用量が減少したことによるものである</w:t>
      </w:r>
      <w:r w:rsidR="00830109">
        <w:rPr>
          <w:rFonts w:hAnsi="ＭＳ 明朝" w:hint="eastAsia"/>
          <w:szCs w:val="24"/>
        </w:rPr>
        <w:t>。</w:t>
      </w:r>
    </w:p>
    <w:p w:rsidR="00FD2036" w:rsidRPr="003C0C23" w:rsidRDefault="003F4D77" w:rsidP="003F4D77">
      <w:pPr>
        <w:ind w:leftChars="100" w:left="241" w:firstLineChars="100" w:firstLine="241"/>
        <w:rPr>
          <w:rFonts w:hAnsi="ＭＳ 明朝"/>
          <w:szCs w:val="24"/>
        </w:rPr>
      </w:pPr>
      <w:r>
        <w:rPr>
          <w:rFonts w:hAnsi="ＭＳ 明朝" w:hint="eastAsia"/>
          <w:szCs w:val="24"/>
        </w:rPr>
        <w:t>また、</w:t>
      </w:r>
      <w:r w:rsidR="00FD2036" w:rsidRPr="003C0C23">
        <w:rPr>
          <w:rFonts w:hAnsi="ＭＳ 明朝" w:hint="eastAsia"/>
          <w:szCs w:val="24"/>
        </w:rPr>
        <w:t>有収率は</w:t>
      </w:r>
      <w:r w:rsidR="00FD2036" w:rsidRPr="00E626D1">
        <w:rPr>
          <w:rFonts w:hAnsi="ＭＳ 明朝" w:hint="eastAsia"/>
          <w:szCs w:val="24"/>
        </w:rPr>
        <w:t>90.</w:t>
      </w:r>
      <w:r w:rsidR="00157D55" w:rsidRPr="00E626D1">
        <w:rPr>
          <w:rFonts w:hAnsi="ＭＳ 明朝" w:hint="eastAsia"/>
          <w:szCs w:val="24"/>
        </w:rPr>
        <w:t>6</w:t>
      </w:r>
      <w:r w:rsidR="00EF2C1E">
        <w:rPr>
          <w:rFonts w:hAnsi="ＭＳ 明朝" w:hint="eastAsia"/>
          <w:szCs w:val="24"/>
        </w:rPr>
        <w:t>％</w:t>
      </w:r>
      <w:r w:rsidR="00FA66C9">
        <w:rPr>
          <w:rFonts w:hAnsi="ＭＳ 明朝" w:hint="eastAsia"/>
          <w:szCs w:val="24"/>
        </w:rPr>
        <w:t>で</w:t>
      </w:r>
      <w:r w:rsidR="00866DBB">
        <w:rPr>
          <w:rFonts w:hAnsi="ＭＳ 明朝" w:hint="eastAsia"/>
          <w:szCs w:val="24"/>
        </w:rPr>
        <w:t>、</w:t>
      </w:r>
      <w:r w:rsidR="00FA66C9">
        <w:rPr>
          <w:rFonts w:hAnsi="ＭＳ 明朝" w:hint="eastAsia"/>
          <w:szCs w:val="24"/>
        </w:rPr>
        <w:t>前年度</w:t>
      </w:r>
      <w:r w:rsidR="00EF2C1E">
        <w:rPr>
          <w:rFonts w:hAnsi="ＭＳ 明朝" w:hint="eastAsia"/>
          <w:szCs w:val="24"/>
        </w:rPr>
        <w:t>に比べ0.6ポイント上昇している。</w:t>
      </w:r>
    </w:p>
    <w:p w:rsidR="00E205A2" w:rsidRPr="00A44DD0" w:rsidRDefault="00E205A2">
      <w:pPr>
        <w:rPr>
          <w:sz w:val="22"/>
        </w:rPr>
      </w:pPr>
    </w:p>
    <w:p w:rsidR="00DD5FC2" w:rsidRDefault="00DD5FC2" w:rsidP="00DD5FC2">
      <w:pPr>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p>
    <w:p w:rsidR="00DD5FC2" w:rsidRPr="004F10C4" w:rsidRDefault="00DD5FC2" w:rsidP="00DD5FC2">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bookmarkStart w:id="0" w:name="_MON_1435997535"/>
    <w:bookmarkEnd w:id="0"/>
    <w:p w:rsidR="005820BF" w:rsidRPr="00980B1E" w:rsidRDefault="005820BF" w:rsidP="005820BF">
      <w:pPr>
        <w:tabs>
          <w:tab w:val="left" w:pos="4678"/>
        </w:tabs>
        <w:jc w:val="left"/>
        <w:rPr>
          <w:sz w:val="18"/>
          <w:szCs w:val="18"/>
        </w:rPr>
      </w:pPr>
      <w:r w:rsidRPr="00B03FE6">
        <w:rPr>
          <w:rFonts w:ascii="ＭＳ ゴシック" w:eastAsia="ＭＳ ゴシック" w:hAnsi="ＭＳ ゴシック"/>
          <w:sz w:val="22"/>
        </w:rPr>
        <w:object w:dxaOrig="9687" w:dyaOrig="105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5pt;height:301.5pt" o:ole="">
            <v:imagedata r:id="rId8" o:title=""/>
            <o:lock v:ext="edit" aspectratio="f"/>
          </v:shape>
          <o:OLEObject Type="Embed" ProgID="Excel.Sheet.12" ShapeID="_x0000_i1025" DrawAspect="Content" ObjectID="_1568638567" r:id="rId9"/>
        </w:object>
      </w:r>
      <w:r w:rsidRPr="00697423">
        <w:rPr>
          <w:rFonts w:asciiTheme="minorEastAsia" w:eastAsiaTheme="minorEastAsia" w:hAnsiTheme="minorEastAsia" w:hint="eastAsia"/>
          <w:sz w:val="18"/>
          <w:szCs w:val="18"/>
        </w:rPr>
        <w:t>（注</w:t>
      </w:r>
      <w:r>
        <w:rPr>
          <w:rFonts w:asciiTheme="minorEastAsia" w:eastAsiaTheme="minorEastAsia" w:hAnsiTheme="minorEastAsia" w:hint="eastAsia"/>
          <w:sz w:val="18"/>
          <w:szCs w:val="18"/>
        </w:rPr>
        <w:t xml:space="preserve">）　</w:t>
      </w:r>
      <w:r>
        <w:rPr>
          <w:rFonts w:hint="eastAsia"/>
          <w:sz w:val="18"/>
          <w:szCs w:val="18"/>
        </w:rPr>
        <w:t xml:space="preserve">１　</w:t>
      </w:r>
      <w:r w:rsidRPr="00980B1E">
        <w:rPr>
          <w:rFonts w:hint="eastAsia"/>
          <w:sz w:val="18"/>
          <w:szCs w:val="18"/>
        </w:rPr>
        <w:t>行政区域内人口及び給水人口には、区域外給水人口を含む。（各年度末現在）</w:t>
      </w:r>
    </w:p>
    <w:p w:rsidR="005820BF" w:rsidRPr="00980B1E" w:rsidRDefault="005820BF" w:rsidP="005820BF">
      <w:pPr>
        <w:ind w:firstLineChars="400" w:firstLine="724"/>
        <w:jc w:val="left"/>
        <w:rPr>
          <w:sz w:val="18"/>
          <w:szCs w:val="18"/>
        </w:rPr>
      </w:pPr>
      <w:r w:rsidRPr="00980B1E">
        <w:rPr>
          <w:rFonts w:hint="eastAsia"/>
          <w:sz w:val="18"/>
          <w:szCs w:val="18"/>
        </w:rPr>
        <w:t>２</w:t>
      </w:r>
      <w:r>
        <w:rPr>
          <w:rFonts w:hint="eastAsia"/>
          <w:sz w:val="18"/>
          <w:szCs w:val="18"/>
        </w:rPr>
        <w:t xml:space="preserve">　</w:t>
      </w:r>
      <w:r w:rsidRPr="00980B1E">
        <w:rPr>
          <w:rFonts w:hint="eastAsia"/>
          <w:sz w:val="18"/>
          <w:szCs w:val="18"/>
        </w:rPr>
        <w:t>一人一日平均有収水量＝有収水量÷給水人口÷年間日数</w:t>
      </w:r>
    </w:p>
    <w:p w:rsidR="005820BF" w:rsidRDefault="005820BF" w:rsidP="005820BF">
      <w:pPr>
        <w:ind w:leftChars="300" w:left="723"/>
        <w:jc w:val="left"/>
        <w:rPr>
          <w:sz w:val="18"/>
          <w:szCs w:val="18"/>
        </w:rPr>
      </w:pPr>
      <w:r w:rsidRPr="00980B1E">
        <w:rPr>
          <w:rFonts w:hint="eastAsia"/>
          <w:sz w:val="18"/>
          <w:szCs w:val="18"/>
        </w:rPr>
        <w:t>３</w:t>
      </w:r>
      <w:r>
        <w:rPr>
          <w:rFonts w:hint="eastAsia"/>
          <w:sz w:val="18"/>
          <w:szCs w:val="18"/>
        </w:rPr>
        <w:t xml:space="preserve">　無収水量とは、有効</w:t>
      </w:r>
      <w:r w:rsidRPr="00980B1E">
        <w:rPr>
          <w:rFonts w:hint="eastAsia"/>
          <w:sz w:val="18"/>
          <w:szCs w:val="18"/>
        </w:rPr>
        <w:t>水量のうち料金徴収の対象とならなかった水量</w:t>
      </w:r>
    </w:p>
    <w:p w:rsidR="005820BF" w:rsidRPr="00980B1E" w:rsidRDefault="005820BF" w:rsidP="005820BF">
      <w:pPr>
        <w:ind w:leftChars="300" w:left="723" w:firstLineChars="100" w:firstLine="181"/>
        <w:jc w:val="left"/>
        <w:rPr>
          <w:sz w:val="18"/>
          <w:szCs w:val="18"/>
        </w:rPr>
      </w:pPr>
      <w:r w:rsidRPr="00980B1E">
        <w:rPr>
          <w:rFonts w:hint="eastAsia"/>
          <w:sz w:val="18"/>
          <w:szCs w:val="18"/>
        </w:rPr>
        <w:t>（メーター不感水量、水道事業用や消防用等に使用）</w:t>
      </w:r>
    </w:p>
    <w:p w:rsidR="005820BF" w:rsidRPr="00DD5FC2" w:rsidRDefault="005820BF" w:rsidP="005820BF">
      <w:pPr>
        <w:ind w:firstLineChars="400" w:firstLine="724"/>
        <w:jc w:val="left"/>
        <w:rPr>
          <w:rFonts w:ascii="ＭＳ ゴシック" w:eastAsia="ＭＳ ゴシック" w:hAnsi="ＭＳ ゴシック"/>
          <w:sz w:val="22"/>
        </w:rPr>
      </w:pPr>
      <w:r>
        <w:rPr>
          <w:rFonts w:hint="eastAsia"/>
          <w:sz w:val="18"/>
          <w:szCs w:val="18"/>
        </w:rPr>
        <w:t xml:space="preserve">４　</w:t>
      </w:r>
      <w:r w:rsidRPr="00980B1E">
        <w:rPr>
          <w:rFonts w:hint="eastAsia"/>
          <w:sz w:val="18"/>
          <w:szCs w:val="18"/>
        </w:rPr>
        <w:t>職員数（</w:t>
      </w:r>
      <w:r>
        <w:rPr>
          <w:rFonts w:hint="eastAsia"/>
          <w:sz w:val="18"/>
          <w:szCs w:val="18"/>
        </w:rPr>
        <w:t>各年度末</w:t>
      </w:r>
      <w:r w:rsidRPr="00980B1E">
        <w:rPr>
          <w:rFonts w:hint="eastAsia"/>
          <w:sz w:val="18"/>
          <w:szCs w:val="18"/>
        </w:rPr>
        <w:t>現在）には、</w:t>
      </w:r>
      <w:r>
        <w:rPr>
          <w:rFonts w:hint="eastAsia"/>
          <w:sz w:val="18"/>
          <w:szCs w:val="18"/>
        </w:rPr>
        <w:t>上下</w:t>
      </w:r>
      <w:r w:rsidRPr="00980B1E">
        <w:rPr>
          <w:rFonts w:hint="eastAsia"/>
          <w:sz w:val="18"/>
          <w:szCs w:val="18"/>
        </w:rPr>
        <w:t>水道事業管理者は含まれていない。</w:t>
      </w:r>
    </w:p>
    <w:p w:rsidR="00AC1638" w:rsidRDefault="00AC1638" w:rsidP="005820BF">
      <w:pPr>
        <w:jc w:val="left"/>
        <w:rPr>
          <w:rFonts w:ascii="ＭＳ ゴシック" w:eastAsia="ＭＳ ゴシック" w:hAnsi="ＭＳ ゴシック"/>
          <w:sz w:val="22"/>
        </w:rPr>
        <w:sectPr w:rsidR="00AC1638" w:rsidSect="002E1212">
          <w:footerReference w:type="default" r:id="rId10"/>
          <w:pgSz w:w="11906" w:h="16838" w:code="9"/>
          <w:pgMar w:top="1134" w:right="1134" w:bottom="1134" w:left="1134" w:header="851" w:footer="510" w:gutter="0"/>
          <w:pgNumType w:fmt="numberInDash" w:start="7"/>
          <w:cols w:space="425"/>
          <w:docGrid w:type="linesAndChars" w:linePitch="364" w:charSpace="194"/>
        </w:sectPr>
      </w:pPr>
    </w:p>
    <w:p w:rsidR="00AC1638" w:rsidRPr="00711543" w:rsidRDefault="00AC1638" w:rsidP="00AC1638">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AC1638" w:rsidRPr="00305982" w:rsidRDefault="00AC1638" w:rsidP="00AC1638">
      <w:pPr>
        <w:pStyle w:val="a8"/>
        <w:numPr>
          <w:ilvl w:val="0"/>
          <w:numId w:val="1"/>
        </w:numPr>
        <w:ind w:leftChars="0"/>
        <w:rPr>
          <w:rFonts w:ascii="ＭＳ ゴシック" w:eastAsia="ＭＳ ゴシック" w:hAnsi="ＭＳ ゴシック"/>
          <w:szCs w:val="24"/>
        </w:rPr>
      </w:pPr>
      <w:r w:rsidRPr="00305982">
        <w:rPr>
          <w:rFonts w:ascii="ＭＳ ゴシック" w:eastAsia="ＭＳ ゴシック" w:hAnsi="ＭＳ ゴシック" w:hint="eastAsia"/>
          <w:szCs w:val="24"/>
        </w:rPr>
        <w:t xml:space="preserve">　収益的収入及び支出（消費税込み）</w:t>
      </w:r>
    </w:p>
    <w:p w:rsidR="00AC1638" w:rsidRDefault="00AC1638" w:rsidP="00AC1638">
      <w:pPr>
        <w:ind w:firstLineChars="300" w:firstLine="723"/>
        <w:rPr>
          <w:szCs w:val="24"/>
        </w:rPr>
      </w:pPr>
      <w:r w:rsidRPr="008A1AC0">
        <w:rPr>
          <w:rFonts w:hint="eastAsia"/>
          <w:szCs w:val="24"/>
        </w:rPr>
        <w:t>各科目の予算の執行状況は、下表のとおりである。</w:t>
      </w:r>
    </w:p>
    <w:p w:rsidR="00AC1638" w:rsidRPr="008A1AC0" w:rsidRDefault="00AC1638" w:rsidP="00AC1638">
      <w:pPr>
        <w:ind w:firstLineChars="3100" w:firstLine="7469"/>
        <w:rPr>
          <w:szCs w:val="24"/>
        </w:rPr>
      </w:pPr>
      <w:r>
        <w:rPr>
          <w:rFonts w:hint="eastAsia"/>
          <w:szCs w:val="24"/>
        </w:rPr>
        <w:t xml:space="preserve">　　</w:t>
      </w:r>
      <w:r w:rsidRPr="008A1AC0">
        <w:rPr>
          <w:rFonts w:hint="eastAsia"/>
          <w:szCs w:val="24"/>
        </w:rPr>
        <w:t>（単位：千円・％）</w:t>
      </w:r>
    </w:p>
    <w:bookmarkStart w:id="1" w:name="_MON_1436080364"/>
    <w:bookmarkEnd w:id="1"/>
    <w:p w:rsidR="00AC1638" w:rsidRDefault="00AC1638" w:rsidP="00AC1638">
      <w:pPr>
        <w:jc w:val="left"/>
        <w:rPr>
          <w:sz w:val="22"/>
        </w:rPr>
      </w:pPr>
      <w:r w:rsidRPr="000E3F6D">
        <w:rPr>
          <w:sz w:val="22"/>
        </w:rPr>
        <w:object w:dxaOrig="9816" w:dyaOrig="5861">
          <v:shape id="_x0000_i1026" type="#_x0000_t75" style="width:484.5pt;height:251.25pt" o:ole="">
            <v:imagedata r:id="rId11" o:title=""/>
          </v:shape>
          <o:OLEObject Type="Embed" ProgID="Excel.Sheet.12" ShapeID="_x0000_i1026" DrawAspect="Content" ObjectID="_1568638568" r:id="rId12"/>
        </w:object>
      </w:r>
      <w:r>
        <w:rPr>
          <w:rFonts w:hint="eastAsia"/>
          <w:sz w:val="22"/>
        </w:rPr>
        <w:t xml:space="preserve">　　</w:t>
      </w:r>
    </w:p>
    <w:p w:rsidR="00AC1638" w:rsidRPr="008A1AC0" w:rsidRDefault="00AC1638" w:rsidP="00AC1638">
      <w:pPr>
        <w:ind w:left="2" w:firstLineChars="200" w:firstLine="482"/>
        <w:jc w:val="left"/>
        <w:rPr>
          <w:szCs w:val="24"/>
        </w:rPr>
      </w:pPr>
      <w:r>
        <w:rPr>
          <w:rFonts w:hint="eastAsia"/>
          <w:szCs w:val="24"/>
        </w:rPr>
        <w:t xml:space="preserve">ア　</w:t>
      </w:r>
      <w:r w:rsidRPr="008A1AC0">
        <w:rPr>
          <w:rFonts w:hint="eastAsia"/>
          <w:szCs w:val="24"/>
        </w:rPr>
        <w:t>収益的収入</w:t>
      </w:r>
    </w:p>
    <w:p w:rsidR="00AC1638" w:rsidRPr="00907186" w:rsidRDefault="00AC1638" w:rsidP="00AC1638">
      <w:pPr>
        <w:spacing w:line="380" w:lineRule="exact"/>
        <w:ind w:leftChars="300" w:left="723" w:firstLineChars="80" w:firstLine="193"/>
        <w:jc w:val="left"/>
        <w:rPr>
          <w:rFonts w:asciiTheme="minorEastAsia" w:eastAsiaTheme="minorEastAsia" w:hAnsiTheme="minorEastAsia"/>
          <w:szCs w:val="24"/>
        </w:rPr>
      </w:pPr>
      <w:r w:rsidRPr="00907186">
        <w:rPr>
          <w:rFonts w:asciiTheme="minorEastAsia" w:eastAsiaTheme="minorEastAsia" w:hAnsiTheme="minorEastAsia" w:hint="eastAsia"/>
          <w:szCs w:val="24"/>
        </w:rPr>
        <w:t>予算額</w:t>
      </w:r>
      <w:r w:rsidRPr="00D523C0">
        <w:rPr>
          <w:rFonts w:asciiTheme="minorEastAsia" w:eastAsiaTheme="minorEastAsia" w:hAnsiTheme="minorEastAsia" w:hint="eastAsia"/>
          <w:szCs w:val="24"/>
        </w:rPr>
        <w:t>3,367,051千円に対し、決算額は3,445,206千円(仮受消費税229,230千円を含む)で、執行率102.3％、78,155千円の収入増となっている。</w:t>
      </w:r>
    </w:p>
    <w:p w:rsidR="00AC1638" w:rsidRPr="00907186" w:rsidRDefault="00AC1638" w:rsidP="00AC1638">
      <w:pPr>
        <w:spacing w:line="380" w:lineRule="exact"/>
        <w:ind w:left="2"/>
        <w:jc w:val="left"/>
        <w:rPr>
          <w:rFonts w:asciiTheme="minorEastAsia" w:eastAsiaTheme="minorEastAsia" w:hAnsiTheme="minorEastAsia"/>
          <w:szCs w:val="24"/>
        </w:rPr>
      </w:pPr>
      <w:r w:rsidRPr="00907186">
        <w:rPr>
          <w:rFonts w:asciiTheme="minorEastAsia" w:eastAsiaTheme="minorEastAsia" w:hAnsiTheme="minorEastAsia" w:hint="eastAsia"/>
          <w:szCs w:val="24"/>
        </w:rPr>
        <w:t xml:space="preserve">　　　</w:t>
      </w:r>
      <w:r>
        <w:rPr>
          <w:rFonts w:asciiTheme="minorEastAsia" w:eastAsiaTheme="minorEastAsia" w:hAnsiTheme="minorEastAsia" w:hint="eastAsia"/>
          <w:szCs w:val="24"/>
        </w:rPr>
        <w:t xml:space="preserve">　これは主に、特別利益</w:t>
      </w:r>
      <w:r w:rsidRPr="00907186">
        <w:rPr>
          <w:rFonts w:asciiTheme="minorEastAsia" w:eastAsiaTheme="minorEastAsia" w:hAnsiTheme="minorEastAsia" w:hint="eastAsia"/>
          <w:szCs w:val="24"/>
        </w:rPr>
        <w:t>の</w:t>
      </w:r>
      <w:r>
        <w:rPr>
          <w:rFonts w:asciiTheme="minorEastAsia" w:eastAsiaTheme="minorEastAsia" w:hAnsiTheme="minorEastAsia" w:hint="eastAsia"/>
          <w:szCs w:val="24"/>
        </w:rPr>
        <w:t>増加</w:t>
      </w:r>
      <w:r w:rsidRPr="00907186">
        <w:rPr>
          <w:rFonts w:asciiTheme="minorEastAsia" w:eastAsiaTheme="minorEastAsia" w:hAnsiTheme="minorEastAsia" w:hint="eastAsia"/>
          <w:szCs w:val="24"/>
        </w:rPr>
        <w:t>によるものである。</w:t>
      </w:r>
    </w:p>
    <w:p w:rsidR="00AC1638" w:rsidRPr="008A1AC0" w:rsidRDefault="00AC1638" w:rsidP="00AC1638">
      <w:pPr>
        <w:tabs>
          <w:tab w:val="left" w:pos="8676"/>
        </w:tabs>
        <w:spacing w:line="380" w:lineRule="exact"/>
        <w:ind w:firstLineChars="100" w:firstLine="241"/>
        <w:jc w:val="left"/>
        <w:rPr>
          <w:szCs w:val="24"/>
        </w:rPr>
      </w:pPr>
      <w:r>
        <w:rPr>
          <w:szCs w:val="24"/>
        </w:rPr>
        <w:tab/>
      </w:r>
    </w:p>
    <w:p w:rsidR="00AC1638" w:rsidRPr="008A1AC0" w:rsidRDefault="00AC1638" w:rsidP="00AC1638">
      <w:pPr>
        <w:tabs>
          <w:tab w:val="left" w:pos="284"/>
        </w:tabs>
        <w:spacing w:line="380" w:lineRule="exact"/>
        <w:ind w:firstLineChars="200" w:firstLine="482"/>
        <w:jc w:val="left"/>
        <w:rPr>
          <w:szCs w:val="24"/>
        </w:rPr>
      </w:pPr>
      <w:r>
        <w:rPr>
          <w:rFonts w:hint="eastAsia"/>
          <w:szCs w:val="24"/>
        </w:rPr>
        <w:t xml:space="preserve">イ　</w:t>
      </w:r>
      <w:r w:rsidRPr="008A1AC0">
        <w:rPr>
          <w:rFonts w:hint="eastAsia"/>
          <w:szCs w:val="24"/>
        </w:rPr>
        <w:t>収益的支出</w:t>
      </w:r>
    </w:p>
    <w:p w:rsidR="00AC1638" w:rsidRPr="008A1AC0" w:rsidRDefault="00AC1638" w:rsidP="00AC1638">
      <w:pPr>
        <w:spacing w:line="380" w:lineRule="exact"/>
        <w:ind w:leftChars="300" w:left="723" w:firstLineChars="94" w:firstLine="226"/>
        <w:jc w:val="left"/>
        <w:rPr>
          <w:szCs w:val="24"/>
        </w:rPr>
      </w:pPr>
      <w:r w:rsidRPr="008A1AC0">
        <w:rPr>
          <w:rFonts w:hint="eastAsia"/>
          <w:szCs w:val="24"/>
        </w:rPr>
        <w:t>予算額</w:t>
      </w:r>
      <w:r w:rsidRPr="00D523C0">
        <w:rPr>
          <w:rFonts w:hint="eastAsia"/>
          <w:szCs w:val="24"/>
        </w:rPr>
        <w:t>2,864,252</w:t>
      </w:r>
      <w:r w:rsidRPr="008A1AC0">
        <w:rPr>
          <w:rFonts w:hint="eastAsia"/>
          <w:szCs w:val="24"/>
        </w:rPr>
        <w:t>千円に対し、決算額は</w:t>
      </w:r>
      <w:r w:rsidRPr="00D523C0">
        <w:rPr>
          <w:rFonts w:hint="eastAsia"/>
          <w:szCs w:val="24"/>
        </w:rPr>
        <w:t>2,647,749千円(仮払消費税76,647</w:t>
      </w:r>
      <w:r>
        <w:rPr>
          <w:rFonts w:hint="eastAsia"/>
          <w:szCs w:val="24"/>
        </w:rPr>
        <w:t>千円を含む)</w:t>
      </w:r>
      <w:r w:rsidRPr="008A1AC0">
        <w:rPr>
          <w:rFonts w:hint="eastAsia"/>
          <w:szCs w:val="24"/>
        </w:rPr>
        <w:t>で、執行率</w:t>
      </w:r>
      <w:r w:rsidRPr="00B742FC">
        <w:rPr>
          <w:rFonts w:hint="eastAsia"/>
          <w:szCs w:val="24"/>
        </w:rPr>
        <w:t>92.4</w:t>
      </w:r>
      <w:r w:rsidRPr="008A1AC0">
        <w:rPr>
          <w:rFonts w:hint="eastAsia"/>
          <w:szCs w:val="24"/>
        </w:rPr>
        <w:t>％、</w:t>
      </w:r>
      <w:r w:rsidRPr="00B742FC">
        <w:rPr>
          <w:rFonts w:hint="eastAsia"/>
          <w:szCs w:val="24"/>
        </w:rPr>
        <w:t>216,503</w:t>
      </w:r>
      <w:r w:rsidRPr="008A1AC0">
        <w:rPr>
          <w:rFonts w:hint="eastAsia"/>
          <w:szCs w:val="24"/>
        </w:rPr>
        <w:t>千円の不用額が生じている。</w:t>
      </w:r>
    </w:p>
    <w:p w:rsidR="00AC1638" w:rsidRDefault="00AC1638" w:rsidP="00AC1638">
      <w:pPr>
        <w:spacing w:line="380" w:lineRule="exact"/>
        <w:jc w:val="left"/>
        <w:rPr>
          <w:szCs w:val="24"/>
        </w:rPr>
      </w:pPr>
      <w:r>
        <w:rPr>
          <w:rFonts w:hint="eastAsia"/>
          <w:szCs w:val="24"/>
        </w:rPr>
        <w:t xml:space="preserve">　　　　これは主に、営業費用の減少によるもの</w:t>
      </w:r>
      <w:r w:rsidRPr="008A1AC0">
        <w:rPr>
          <w:rFonts w:hint="eastAsia"/>
          <w:szCs w:val="24"/>
        </w:rPr>
        <w:t>である。</w:t>
      </w:r>
    </w:p>
    <w:p w:rsidR="00AC1638" w:rsidRPr="008A1AC0" w:rsidRDefault="00AC1638" w:rsidP="00AC1638">
      <w:pPr>
        <w:spacing w:line="380" w:lineRule="exact"/>
        <w:jc w:val="left"/>
        <w:rPr>
          <w:szCs w:val="24"/>
        </w:rPr>
      </w:pPr>
    </w:p>
    <w:p w:rsidR="00AC1638" w:rsidRPr="008A1AC0" w:rsidRDefault="00AC1638" w:rsidP="00AC1638">
      <w:pPr>
        <w:ind w:firstLineChars="100" w:firstLine="241"/>
        <w:rPr>
          <w:rFonts w:ascii="ＭＳ ゴシック" w:eastAsia="ＭＳ ゴシック" w:hAnsi="ＭＳ ゴシック"/>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sidRPr="008A1AC0">
        <w:rPr>
          <w:rFonts w:hint="eastAsia"/>
          <w:szCs w:val="24"/>
        </w:rPr>
        <w:t>(単位：千円)</w:t>
      </w:r>
    </w:p>
    <w:p w:rsidR="00AC1638" w:rsidRDefault="00AC1638" w:rsidP="00AC1638">
      <w:pPr>
        <w:ind w:firstLineChars="100" w:firstLine="221"/>
        <w:rPr>
          <w:szCs w:val="24"/>
        </w:rPr>
      </w:pPr>
      <w:r>
        <w:rPr>
          <w:noProof/>
          <w:sz w:val="22"/>
        </w:rPr>
        <w:drawing>
          <wp:inline distT="0" distB="0" distL="0" distR="0">
            <wp:extent cx="6067425" cy="2124075"/>
            <wp:effectExtent l="19050" t="0" r="9525"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rFonts w:hint="eastAsia"/>
          <w:szCs w:val="24"/>
        </w:rPr>
        <w:t xml:space="preserve">　</w:t>
      </w:r>
    </w:p>
    <w:p w:rsidR="00AC1638" w:rsidRDefault="00AC1638" w:rsidP="00AC1638">
      <w:pPr>
        <w:ind w:firstLineChars="100" w:firstLine="241"/>
        <w:rPr>
          <w:szCs w:val="24"/>
        </w:rPr>
      </w:pPr>
      <w:r>
        <w:rPr>
          <w:rFonts w:hint="eastAsia"/>
          <w:szCs w:val="24"/>
        </w:rPr>
        <w:t xml:space="preserve">　</w:t>
      </w:r>
    </w:p>
    <w:p w:rsidR="00AC1638" w:rsidRPr="00284AB8" w:rsidRDefault="00AC1638" w:rsidP="00AC1638">
      <w:pPr>
        <w:ind w:firstLineChars="100" w:firstLine="241"/>
        <w:rPr>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AC1638" w:rsidRDefault="00AC1638" w:rsidP="00AC1638">
      <w:pPr>
        <w:ind w:firstLineChars="300" w:firstLine="723"/>
        <w:rPr>
          <w:szCs w:val="24"/>
        </w:rPr>
      </w:pPr>
      <w:r>
        <w:rPr>
          <w:rFonts w:hint="eastAsia"/>
          <w:szCs w:val="24"/>
        </w:rPr>
        <w:t xml:space="preserve">各科目の予算の執行状況は、下表のとおりである。　　</w:t>
      </w:r>
    </w:p>
    <w:p w:rsidR="00AC1638" w:rsidRPr="008A1AC0" w:rsidRDefault="00AC1638" w:rsidP="00AC1638">
      <w:pPr>
        <w:ind w:firstLineChars="2600" w:firstLine="6265"/>
        <w:rPr>
          <w:szCs w:val="24"/>
        </w:rPr>
      </w:pPr>
      <w:r>
        <w:rPr>
          <w:rFonts w:hint="eastAsia"/>
          <w:szCs w:val="24"/>
        </w:rPr>
        <w:t xml:space="preserve">　　　　　　</w:t>
      </w:r>
      <w:r w:rsidRPr="008A1AC0">
        <w:rPr>
          <w:rFonts w:hint="eastAsia"/>
          <w:szCs w:val="24"/>
        </w:rPr>
        <w:t>（単位：千円・％）</w:t>
      </w:r>
    </w:p>
    <w:bookmarkStart w:id="2" w:name="_MON_1436083506"/>
    <w:bookmarkEnd w:id="2"/>
    <w:p w:rsidR="00AC1638" w:rsidRPr="00E24116" w:rsidRDefault="00AC1638" w:rsidP="00AC1638">
      <w:pPr>
        <w:rPr>
          <w:sz w:val="20"/>
          <w:szCs w:val="20"/>
        </w:rPr>
      </w:pPr>
      <w:r w:rsidRPr="000E3F6D">
        <w:rPr>
          <w:sz w:val="22"/>
        </w:rPr>
        <w:object w:dxaOrig="11692" w:dyaOrig="6166">
          <v:shape id="_x0000_i1027" type="#_x0000_t75" style="width:502.5pt;height:284.25pt" o:ole="">
            <v:imagedata r:id="rId14" o:title=""/>
          </v:shape>
          <o:OLEObject Type="Embed" ProgID="Excel.Sheet.12" ShapeID="_x0000_i1027" DrawAspect="Content" ObjectID="_1568638569" r:id="rId15"/>
        </w:object>
      </w:r>
    </w:p>
    <w:p w:rsidR="00AC1638" w:rsidRPr="00FA55D2" w:rsidRDefault="00AC1638" w:rsidP="00AC1638">
      <w:pPr>
        <w:spacing w:line="400" w:lineRule="exact"/>
        <w:ind w:firstLineChars="200" w:firstLine="482"/>
        <w:jc w:val="left"/>
        <w:rPr>
          <w:szCs w:val="24"/>
        </w:rPr>
      </w:pPr>
      <w:r w:rsidRPr="00FA55D2">
        <w:rPr>
          <w:rFonts w:hint="eastAsia"/>
          <w:szCs w:val="24"/>
        </w:rPr>
        <w:t>ア　資本的収入</w:t>
      </w:r>
    </w:p>
    <w:p w:rsidR="00AC1638" w:rsidRPr="00D523C0" w:rsidRDefault="00AC1638" w:rsidP="00AC1638">
      <w:pPr>
        <w:spacing w:line="400" w:lineRule="exact"/>
        <w:ind w:leftChars="300" w:left="723" w:firstLineChars="90" w:firstLine="217"/>
        <w:rPr>
          <w:szCs w:val="24"/>
        </w:rPr>
      </w:pPr>
      <w:r w:rsidRPr="00FA55D2">
        <w:rPr>
          <w:rFonts w:hint="eastAsia"/>
          <w:szCs w:val="24"/>
        </w:rPr>
        <w:t>予算額</w:t>
      </w:r>
      <w:r w:rsidRPr="00D523C0">
        <w:rPr>
          <w:rFonts w:hint="eastAsia"/>
          <w:szCs w:val="24"/>
        </w:rPr>
        <w:t>514,167千円に対し、決算額は284,713千円（仮受消費税143千円を含む）で、執行率55.4％、229,454千円の収入減となっている。</w:t>
      </w:r>
    </w:p>
    <w:p w:rsidR="00AC1638" w:rsidRPr="00FA55D2" w:rsidRDefault="00AC1638" w:rsidP="00AC1638">
      <w:pPr>
        <w:spacing w:line="400" w:lineRule="exact"/>
        <w:ind w:firstLineChars="400" w:firstLine="964"/>
        <w:rPr>
          <w:szCs w:val="24"/>
        </w:rPr>
      </w:pPr>
      <w:r w:rsidRPr="00D523C0">
        <w:rPr>
          <w:rFonts w:hint="eastAsia"/>
          <w:szCs w:val="24"/>
        </w:rPr>
        <w:t>これは主に、企業債及び工事負担金の減少によるもので</w:t>
      </w:r>
      <w:r>
        <w:rPr>
          <w:rFonts w:hint="eastAsia"/>
          <w:szCs w:val="24"/>
        </w:rPr>
        <w:t>あ</w:t>
      </w:r>
      <w:r w:rsidRPr="00FA55D2">
        <w:rPr>
          <w:rFonts w:hint="eastAsia"/>
          <w:szCs w:val="24"/>
        </w:rPr>
        <w:t>る。</w:t>
      </w:r>
    </w:p>
    <w:p w:rsidR="00AC1638" w:rsidRPr="00E24116" w:rsidRDefault="00AC1638" w:rsidP="00AC1638">
      <w:pPr>
        <w:spacing w:line="400" w:lineRule="exact"/>
        <w:rPr>
          <w:sz w:val="20"/>
          <w:szCs w:val="20"/>
        </w:rPr>
      </w:pPr>
    </w:p>
    <w:p w:rsidR="00AC1638" w:rsidRPr="00FB54E9" w:rsidRDefault="00AC1638" w:rsidP="00AC1638">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イ　資本的支出</w:t>
      </w:r>
    </w:p>
    <w:p w:rsidR="00AC1638" w:rsidRPr="00FB54E9" w:rsidRDefault="00AC1638" w:rsidP="00AC1638">
      <w:pPr>
        <w:spacing w:line="400" w:lineRule="exact"/>
        <w:ind w:leftChars="294" w:left="708" w:firstLineChars="90" w:firstLine="217"/>
        <w:rPr>
          <w:rFonts w:asciiTheme="minorEastAsia" w:eastAsiaTheme="minorEastAsia" w:hAnsiTheme="minorEastAsia"/>
          <w:szCs w:val="24"/>
        </w:rPr>
      </w:pPr>
      <w:r w:rsidRPr="00FB54E9">
        <w:rPr>
          <w:rFonts w:asciiTheme="minorEastAsia" w:eastAsiaTheme="minorEastAsia" w:hAnsiTheme="minorEastAsia" w:hint="eastAsia"/>
          <w:szCs w:val="24"/>
        </w:rPr>
        <w:t>予算額</w:t>
      </w:r>
      <w:r w:rsidRPr="00D523C0">
        <w:rPr>
          <w:rFonts w:asciiTheme="minorEastAsia" w:eastAsiaTheme="minorEastAsia" w:hAnsiTheme="minorEastAsia" w:hint="eastAsia"/>
          <w:szCs w:val="24"/>
        </w:rPr>
        <w:t>2,316,114千円に対し、決算額は1,867,054千円(仮払消費税102,336千円を含む)で、執行率80.6％となっており、翌年度繰越額221,099千円を差し引くと227,961千円の不用額が生じている。</w:t>
      </w:r>
    </w:p>
    <w:p w:rsidR="00AC1638" w:rsidRPr="00FB54E9" w:rsidRDefault="00AC1638" w:rsidP="00AC1638">
      <w:pPr>
        <w:spacing w:line="400" w:lineRule="exact"/>
        <w:ind w:firstLineChars="394" w:firstLine="949"/>
        <w:rPr>
          <w:rFonts w:asciiTheme="minorEastAsia" w:eastAsiaTheme="minorEastAsia" w:hAnsiTheme="minorEastAsia"/>
          <w:szCs w:val="24"/>
        </w:rPr>
      </w:pPr>
      <w:r w:rsidRPr="00FB54E9">
        <w:rPr>
          <w:rFonts w:asciiTheme="minorEastAsia" w:eastAsiaTheme="minorEastAsia" w:hAnsiTheme="minorEastAsia" w:hint="eastAsia"/>
          <w:szCs w:val="24"/>
        </w:rPr>
        <w:t>これは主に、</w:t>
      </w:r>
      <w:r>
        <w:rPr>
          <w:rFonts w:asciiTheme="minorEastAsia" w:eastAsiaTheme="minorEastAsia" w:hAnsiTheme="minorEastAsia" w:hint="eastAsia"/>
          <w:szCs w:val="24"/>
        </w:rPr>
        <w:t>水道</w:t>
      </w:r>
      <w:r w:rsidRPr="00FB54E9">
        <w:rPr>
          <w:rFonts w:asciiTheme="minorEastAsia" w:eastAsiaTheme="minorEastAsia" w:hAnsiTheme="minorEastAsia" w:hint="eastAsia"/>
          <w:szCs w:val="24"/>
        </w:rPr>
        <w:t>施設整備事業費の減少によるものである。</w:t>
      </w:r>
    </w:p>
    <w:p w:rsidR="00AC1638" w:rsidRPr="00E24116" w:rsidRDefault="00AC1638" w:rsidP="00AC1638">
      <w:pPr>
        <w:spacing w:line="400" w:lineRule="exact"/>
        <w:rPr>
          <w:rFonts w:asciiTheme="minorEastAsia" w:eastAsiaTheme="minorEastAsia" w:hAnsiTheme="minorEastAsia"/>
          <w:sz w:val="20"/>
          <w:szCs w:val="20"/>
        </w:rPr>
      </w:pPr>
    </w:p>
    <w:p w:rsidR="00AC1638" w:rsidRPr="00122A68" w:rsidRDefault="00AC1638" w:rsidP="00AC1638">
      <w:pPr>
        <w:spacing w:line="400" w:lineRule="exact"/>
        <w:ind w:firstLineChars="200" w:firstLine="482"/>
        <w:rPr>
          <w:rFonts w:asciiTheme="minorEastAsia" w:eastAsiaTheme="minorEastAsia" w:hAnsiTheme="minorEastAsia"/>
          <w:szCs w:val="24"/>
        </w:rPr>
      </w:pPr>
      <w:r w:rsidRPr="00122A68">
        <w:rPr>
          <w:rFonts w:asciiTheme="minorEastAsia" w:eastAsiaTheme="minorEastAsia" w:hAnsiTheme="minorEastAsia" w:hint="eastAsia"/>
          <w:szCs w:val="24"/>
        </w:rPr>
        <w:t>ウ　補てん財源</w:t>
      </w:r>
    </w:p>
    <w:p w:rsidR="00AC1638" w:rsidRPr="00122A68" w:rsidRDefault="00AC1638" w:rsidP="00AC1638">
      <w:pPr>
        <w:spacing w:line="400" w:lineRule="exact"/>
        <w:ind w:leftChars="300" w:left="723" w:firstLineChars="90" w:firstLine="202"/>
        <w:rPr>
          <w:rFonts w:asciiTheme="minorEastAsia" w:eastAsiaTheme="minorEastAsia" w:hAnsiTheme="minorEastAsia"/>
          <w:spacing w:val="-4"/>
          <w:szCs w:val="24"/>
        </w:rPr>
      </w:pPr>
      <w:r w:rsidRPr="00122A68">
        <w:rPr>
          <w:rFonts w:asciiTheme="minorEastAsia" w:eastAsiaTheme="minorEastAsia" w:hAnsiTheme="minorEastAsia" w:hint="eastAsia"/>
          <w:spacing w:val="-8"/>
          <w:szCs w:val="24"/>
        </w:rPr>
        <w:t>資本的収入額が資本的支出額に不足する額</w:t>
      </w:r>
      <w:r w:rsidRPr="00D523C0">
        <w:rPr>
          <w:rFonts w:asciiTheme="minorEastAsia" w:eastAsiaTheme="minorEastAsia" w:hAnsiTheme="minorEastAsia" w:hint="eastAsia"/>
          <w:spacing w:val="-8"/>
          <w:szCs w:val="24"/>
        </w:rPr>
        <w:t>1,582,341千円は、</w:t>
      </w:r>
      <w:r w:rsidRPr="00D523C0">
        <w:rPr>
          <w:rFonts w:asciiTheme="minorEastAsia" w:eastAsiaTheme="minorEastAsia" w:hAnsiTheme="minorEastAsia" w:hint="eastAsia"/>
          <w:spacing w:val="-4"/>
          <w:szCs w:val="24"/>
        </w:rPr>
        <w:t>過年度分損益勘定留保資金1,045,703千円、当年度損益勘定留保資金434,445千円、当年度分消費税及び地方消費税資本的収支調整額102,193千円で補てんされている。</w:t>
      </w:r>
    </w:p>
    <w:p w:rsidR="00AC1638" w:rsidRPr="000E76EB" w:rsidRDefault="00AC1638" w:rsidP="00AC1638">
      <w:pPr>
        <w:spacing w:line="400" w:lineRule="exact"/>
        <w:ind w:leftChars="300" w:left="723" w:firstLineChars="90" w:firstLine="210"/>
        <w:rPr>
          <w:rFonts w:asciiTheme="minorEastAsia" w:eastAsiaTheme="minorEastAsia" w:hAnsiTheme="minorEastAsia"/>
          <w:spacing w:val="-4"/>
          <w:szCs w:val="24"/>
        </w:rPr>
      </w:pPr>
    </w:p>
    <w:p w:rsidR="00AC1638" w:rsidRDefault="00AC1638" w:rsidP="00AC1638">
      <w:pPr>
        <w:ind w:firstLineChars="100" w:firstLine="221"/>
        <w:rPr>
          <w:rFonts w:ascii="ＭＳ ゴシック" w:eastAsia="ＭＳ ゴシック" w:hAnsi="ＭＳ ゴシック"/>
          <w:sz w:val="22"/>
        </w:rPr>
      </w:pPr>
    </w:p>
    <w:p w:rsidR="00AC1638" w:rsidRDefault="00AC1638" w:rsidP="00AC1638">
      <w:pPr>
        <w:ind w:firstLineChars="100" w:firstLine="221"/>
        <w:rPr>
          <w:rFonts w:ascii="ＭＳ ゴシック" w:eastAsia="ＭＳ ゴシック" w:hAnsi="ＭＳ ゴシック"/>
          <w:sz w:val="22"/>
        </w:rPr>
      </w:pPr>
    </w:p>
    <w:p w:rsidR="00AC1638" w:rsidRPr="00FA55D2" w:rsidRDefault="00AC1638" w:rsidP="00AC1638">
      <w:pPr>
        <w:ind w:firstLineChars="100" w:firstLine="221"/>
        <w:rPr>
          <w:rFonts w:ascii="ＭＳ ゴシック" w:eastAsia="ＭＳ ゴシック" w:hAnsi="ＭＳ ゴシック"/>
          <w:szCs w:val="24"/>
        </w:rPr>
      </w:pPr>
      <w:r w:rsidRPr="00496A86">
        <w:rPr>
          <w:rFonts w:ascii="ＭＳ ゴシック" w:eastAsia="ＭＳ ゴシック" w:hAnsi="ＭＳ ゴシック" w:hint="eastAsia"/>
          <w:sz w:val="22"/>
        </w:rPr>
        <w:lastRenderedPageBreak/>
        <w:t>⑶</w:t>
      </w:r>
      <w:r w:rsidRPr="00FA55D2">
        <w:rPr>
          <w:rFonts w:ascii="ＭＳ ゴシック" w:eastAsia="ＭＳ ゴシック" w:hAnsi="ＭＳ ゴシック" w:hint="eastAsia"/>
          <w:szCs w:val="24"/>
        </w:rPr>
        <w:t xml:space="preserve">　その他の事項</w:t>
      </w:r>
    </w:p>
    <w:p w:rsidR="00AC1638" w:rsidRDefault="00AC1638" w:rsidP="00AC1638">
      <w:pPr>
        <w:rPr>
          <w:szCs w:val="24"/>
        </w:rPr>
      </w:pPr>
    </w:p>
    <w:p w:rsidR="00AC1638" w:rsidRPr="00FA55D2" w:rsidRDefault="00AC1638" w:rsidP="00AC1638">
      <w:pPr>
        <w:ind w:firstLineChars="200" w:firstLine="482"/>
        <w:rPr>
          <w:szCs w:val="24"/>
        </w:rPr>
      </w:pPr>
      <w:r w:rsidRPr="00FA55D2">
        <w:rPr>
          <w:rFonts w:hint="eastAsia"/>
          <w:szCs w:val="24"/>
        </w:rPr>
        <w:t>ア　企業債</w:t>
      </w:r>
    </w:p>
    <w:p w:rsidR="00AC1638" w:rsidRDefault="00AC1638" w:rsidP="00AC1638">
      <w:pPr>
        <w:ind w:leftChars="-105" w:left="687" w:hangingChars="390" w:hanging="940"/>
        <w:rPr>
          <w:szCs w:val="24"/>
        </w:rPr>
      </w:pPr>
      <w:r w:rsidRPr="00FA55D2">
        <w:rPr>
          <w:rFonts w:hint="eastAsia"/>
          <w:szCs w:val="24"/>
        </w:rPr>
        <w:t xml:space="preserve">　　　</w:t>
      </w:r>
      <w:r>
        <w:rPr>
          <w:rFonts w:hint="eastAsia"/>
          <w:szCs w:val="24"/>
        </w:rPr>
        <w:t xml:space="preserve">　　起債の目的、限度額、起債の方法、利率及び償還の方法は、</w:t>
      </w:r>
      <w:r w:rsidRPr="00FA55D2">
        <w:rPr>
          <w:rFonts w:hint="eastAsia"/>
          <w:szCs w:val="24"/>
        </w:rPr>
        <w:t>予算の定めに従って</w:t>
      </w:r>
    </w:p>
    <w:p w:rsidR="00AC1638" w:rsidRPr="00FA55D2" w:rsidRDefault="00AC1638" w:rsidP="00AC1638">
      <w:pPr>
        <w:ind w:leftChars="295" w:left="711"/>
        <w:rPr>
          <w:szCs w:val="24"/>
        </w:rPr>
      </w:pPr>
      <w:r w:rsidRPr="00FA55D2">
        <w:rPr>
          <w:rFonts w:hint="eastAsia"/>
          <w:szCs w:val="24"/>
        </w:rPr>
        <w:t>行われていた。</w:t>
      </w:r>
    </w:p>
    <w:p w:rsidR="00AC1638" w:rsidRPr="00DE256F" w:rsidRDefault="00AC1638" w:rsidP="00AC1638">
      <w:pPr>
        <w:rPr>
          <w:szCs w:val="24"/>
        </w:rPr>
      </w:pPr>
    </w:p>
    <w:p w:rsidR="00AC1638" w:rsidRPr="00FA55D2" w:rsidRDefault="00AC1638" w:rsidP="00AC1638">
      <w:pPr>
        <w:rPr>
          <w:szCs w:val="24"/>
        </w:rPr>
      </w:pPr>
      <w:r w:rsidRPr="00FA55D2">
        <w:rPr>
          <w:rFonts w:hint="eastAsia"/>
          <w:szCs w:val="24"/>
        </w:rPr>
        <w:t xml:space="preserve">　　イ　一時借入金　</w:t>
      </w:r>
    </w:p>
    <w:p w:rsidR="00AC1638" w:rsidRPr="00FA55D2" w:rsidRDefault="00AC1638" w:rsidP="00AC1638">
      <w:pPr>
        <w:rPr>
          <w:szCs w:val="24"/>
        </w:rPr>
      </w:pPr>
      <w:r w:rsidRPr="00FA55D2">
        <w:rPr>
          <w:rFonts w:hint="eastAsia"/>
          <w:szCs w:val="24"/>
        </w:rPr>
        <w:t xml:space="preserve">　　　</w:t>
      </w:r>
      <w:r>
        <w:rPr>
          <w:rFonts w:hint="eastAsia"/>
          <w:szCs w:val="24"/>
        </w:rPr>
        <w:t xml:space="preserve">　</w:t>
      </w:r>
      <w:r w:rsidRPr="00FA55D2">
        <w:rPr>
          <w:rFonts w:hint="eastAsia"/>
          <w:szCs w:val="24"/>
        </w:rPr>
        <w:t>一時借入金の限度額は400,000千円となっているが、借り入れはなかった。</w:t>
      </w:r>
    </w:p>
    <w:p w:rsidR="00AC1638" w:rsidRPr="00FA55D2" w:rsidRDefault="00AC1638" w:rsidP="00AC1638">
      <w:pPr>
        <w:rPr>
          <w:szCs w:val="24"/>
        </w:rPr>
      </w:pPr>
    </w:p>
    <w:p w:rsidR="00AC1638" w:rsidRPr="00FA55D2" w:rsidRDefault="00AC1638" w:rsidP="00AC1638">
      <w:pPr>
        <w:rPr>
          <w:szCs w:val="24"/>
        </w:rPr>
      </w:pPr>
      <w:r w:rsidRPr="00FA55D2">
        <w:rPr>
          <w:rFonts w:hint="eastAsia"/>
          <w:szCs w:val="24"/>
        </w:rPr>
        <w:t xml:space="preserve">　　ウ　議会の議決を経なければ流用することのできない経費</w:t>
      </w:r>
    </w:p>
    <w:p w:rsidR="00AC1638" w:rsidRPr="00FA55D2" w:rsidRDefault="00AC1638" w:rsidP="00AC1638">
      <w:pPr>
        <w:ind w:leftChars="294" w:left="708" w:firstLineChars="96" w:firstLine="231"/>
        <w:rPr>
          <w:szCs w:val="24"/>
        </w:rPr>
      </w:pPr>
      <w:r w:rsidRPr="00FA55D2">
        <w:rPr>
          <w:rFonts w:hint="eastAsia"/>
          <w:szCs w:val="24"/>
        </w:rPr>
        <w:t>この経費は職員給与費</w:t>
      </w:r>
      <w:r>
        <w:rPr>
          <w:rFonts w:hint="eastAsia"/>
          <w:szCs w:val="24"/>
        </w:rPr>
        <w:t>、</w:t>
      </w:r>
      <w:r w:rsidRPr="00FA55D2">
        <w:rPr>
          <w:rFonts w:hint="eastAsia"/>
          <w:szCs w:val="24"/>
        </w:rPr>
        <w:t>交際費であり、他の経費との間における流用はなかった。</w:t>
      </w:r>
    </w:p>
    <w:p w:rsidR="00AC1638" w:rsidRPr="00FA55D2" w:rsidRDefault="00AC1638" w:rsidP="00AC1638">
      <w:pPr>
        <w:rPr>
          <w:szCs w:val="24"/>
        </w:rPr>
      </w:pPr>
    </w:p>
    <w:p w:rsidR="00AC1638" w:rsidRPr="00FA55D2" w:rsidRDefault="00AC1638" w:rsidP="00AC1638">
      <w:pPr>
        <w:rPr>
          <w:szCs w:val="24"/>
        </w:rPr>
      </w:pPr>
      <w:r w:rsidRPr="00FA55D2">
        <w:rPr>
          <w:rFonts w:hint="eastAsia"/>
          <w:szCs w:val="24"/>
        </w:rPr>
        <w:t xml:space="preserve">　　エ　他会計からの補助金</w:t>
      </w:r>
    </w:p>
    <w:p w:rsidR="00AC1638" w:rsidRPr="0022796F" w:rsidRDefault="00AC1638" w:rsidP="00AC1638">
      <w:pPr>
        <w:rPr>
          <w:szCs w:val="24"/>
        </w:rPr>
      </w:pPr>
      <w:r w:rsidRPr="00FA55D2">
        <w:rPr>
          <w:rFonts w:hint="eastAsia"/>
          <w:szCs w:val="24"/>
        </w:rPr>
        <w:t xml:space="preserve">　　　</w:t>
      </w:r>
      <w:r>
        <w:rPr>
          <w:rFonts w:hint="eastAsia"/>
          <w:szCs w:val="24"/>
        </w:rPr>
        <w:t xml:space="preserve">　</w:t>
      </w:r>
      <w:r w:rsidRPr="0022796F">
        <w:rPr>
          <w:rFonts w:hint="eastAsia"/>
          <w:szCs w:val="24"/>
        </w:rPr>
        <w:t>一般会計から水道つつじ公園の維持管理費として2,700千円が補助されている。</w:t>
      </w:r>
    </w:p>
    <w:p w:rsidR="00AC1638" w:rsidRPr="00533B49" w:rsidRDefault="00AC1638" w:rsidP="00AC1638">
      <w:pPr>
        <w:rPr>
          <w:szCs w:val="24"/>
        </w:rPr>
      </w:pPr>
    </w:p>
    <w:p w:rsidR="00AC1638" w:rsidRPr="00FA55D2" w:rsidRDefault="00AC1638" w:rsidP="00AC1638">
      <w:pPr>
        <w:rPr>
          <w:szCs w:val="24"/>
        </w:rPr>
      </w:pPr>
      <w:r w:rsidRPr="00FA55D2">
        <w:rPr>
          <w:rFonts w:hint="eastAsia"/>
          <w:szCs w:val="24"/>
        </w:rPr>
        <w:t xml:space="preserve">　　オ　たな卸資産の購入状況</w:t>
      </w:r>
    </w:p>
    <w:p w:rsidR="00AC1638" w:rsidRPr="008F4971" w:rsidRDefault="00AC1638" w:rsidP="00AC1638">
      <w:pPr>
        <w:ind w:leftChars="300" w:left="723" w:firstLineChars="100" w:firstLine="237"/>
        <w:rPr>
          <w:spacing w:val="-2"/>
          <w:szCs w:val="24"/>
        </w:rPr>
      </w:pPr>
      <w:r w:rsidRPr="008F4971">
        <w:rPr>
          <w:rFonts w:hint="eastAsia"/>
          <w:spacing w:val="-2"/>
          <w:szCs w:val="24"/>
        </w:rPr>
        <w:t>予算に定められたたな卸資産の購入限度額は20,000千円で、購入額はその範囲内であった。</w:t>
      </w:r>
    </w:p>
    <w:p w:rsidR="00AC1638" w:rsidRPr="00FA55D2" w:rsidRDefault="00AC1638" w:rsidP="00AC1638">
      <w:pPr>
        <w:rPr>
          <w:szCs w:val="24"/>
        </w:rPr>
      </w:pPr>
    </w:p>
    <w:p w:rsidR="00AC1638" w:rsidRPr="00FA55D2" w:rsidRDefault="00AC1638" w:rsidP="00AC1638">
      <w:pPr>
        <w:ind w:firstLineChars="100" w:firstLine="241"/>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rsidR="00AC1638" w:rsidRDefault="00AC1638" w:rsidP="00AC1638">
      <w:pPr>
        <w:rPr>
          <w:sz w:val="22"/>
        </w:rPr>
      </w:pPr>
      <w:r>
        <w:rPr>
          <w:noProof/>
          <w:sz w:val="22"/>
        </w:rPr>
        <w:drawing>
          <wp:inline distT="0" distB="0" distL="0" distR="0">
            <wp:extent cx="6143625" cy="3086100"/>
            <wp:effectExtent l="19050" t="0" r="9525" b="0"/>
            <wp:docPr id="4"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C1638" w:rsidRDefault="00AC1638" w:rsidP="00AC1638">
      <w:pPr>
        <w:rPr>
          <w:sz w:val="22"/>
        </w:rPr>
      </w:pPr>
    </w:p>
    <w:p w:rsidR="00AC1638" w:rsidRDefault="00AC1638" w:rsidP="00AC1638">
      <w:pPr>
        <w:rPr>
          <w:sz w:val="22"/>
        </w:rPr>
      </w:pPr>
    </w:p>
    <w:p w:rsidR="00AC1638" w:rsidRDefault="00AC1638" w:rsidP="00AC1638">
      <w:pPr>
        <w:rPr>
          <w:sz w:val="22"/>
        </w:rPr>
      </w:pPr>
    </w:p>
    <w:p w:rsidR="00AC1638" w:rsidRDefault="00AC1638" w:rsidP="005820BF">
      <w:pPr>
        <w:jc w:val="left"/>
        <w:rPr>
          <w:rFonts w:ascii="ＭＳ ゴシック" w:eastAsia="ＭＳ ゴシック" w:hAnsi="ＭＳ ゴシック"/>
          <w:sz w:val="22"/>
        </w:rPr>
        <w:sectPr w:rsidR="00AC1638" w:rsidSect="002E1212">
          <w:pgSz w:w="11906" w:h="16838" w:code="9"/>
          <w:pgMar w:top="1134" w:right="707" w:bottom="1134" w:left="1134" w:header="851" w:footer="510" w:gutter="0"/>
          <w:pgNumType w:fmt="numberInDash"/>
          <w:cols w:space="425"/>
          <w:docGrid w:type="linesAndChars" w:linePitch="346" w:charSpace="194"/>
        </w:sectPr>
      </w:pPr>
    </w:p>
    <w:p w:rsidR="00AC1638" w:rsidRPr="00D339B8" w:rsidRDefault="00AC1638" w:rsidP="00AC1638">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AC1638" w:rsidRPr="00D339B8" w:rsidRDefault="00AC1638" w:rsidP="00AC1638">
      <w:pPr>
        <w:ind w:firstLineChars="200" w:firstLine="438"/>
        <w:rPr>
          <w:szCs w:val="24"/>
        </w:rPr>
      </w:pPr>
      <w:r w:rsidRPr="00D339B8">
        <w:rPr>
          <w:rFonts w:hint="eastAsia"/>
          <w:szCs w:val="24"/>
        </w:rPr>
        <w:t>経営状況は、下表のとおりである。</w:t>
      </w:r>
    </w:p>
    <w:p w:rsidR="00AC1638" w:rsidRDefault="00AC1638" w:rsidP="00AC1638">
      <w:pPr>
        <w:ind w:firstLineChars="100" w:firstLine="219"/>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hint="eastAsia"/>
          <w:szCs w:val="24"/>
        </w:rPr>
        <w:t>（単位：千円・％）</w:t>
      </w:r>
    </w:p>
    <w:bookmarkStart w:id="3" w:name="_MON_1436090246"/>
    <w:bookmarkEnd w:id="3"/>
    <w:p w:rsidR="00AC1638" w:rsidRDefault="00AC1638" w:rsidP="00AC1638">
      <w:pPr>
        <w:rPr>
          <w:sz w:val="22"/>
        </w:rPr>
      </w:pPr>
      <w:r w:rsidRPr="00534ACC">
        <w:rPr>
          <w:sz w:val="22"/>
        </w:rPr>
        <w:object w:dxaOrig="9302" w:dyaOrig="5871">
          <v:shape id="_x0000_i1028" type="#_x0000_t75" style="width:486pt;height:291.75pt" o:ole="" o:preferrelative="f">
            <v:imagedata r:id="rId17" o:title=""/>
          </v:shape>
          <o:OLEObject Type="Embed" ProgID="Excel.Sheet.12" ShapeID="_x0000_i1028" DrawAspect="Content" ObjectID="_1568638570" r:id="rId18"/>
        </w:object>
      </w:r>
    </w:p>
    <w:p w:rsidR="00AC1638" w:rsidRPr="00952C65" w:rsidRDefault="00AC1638" w:rsidP="00AC1638">
      <w:pPr>
        <w:rPr>
          <w:sz w:val="22"/>
        </w:rPr>
      </w:pPr>
    </w:p>
    <w:p w:rsidR="00AC1638" w:rsidRPr="00D339B8" w:rsidRDefault="00AC1638" w:rsidP="00AC1638">
      <w:pPr>
        <w:ind w:firstLineChars="100" w:firstLine="219"/>
        <w:rPr>
          <w:szCs w:val="24"/>
        </w:rPr>
      </w:pPr>
      <w:r w:rsidRPr="00D339B8">
        <w:rPr>
          <w:rFonts w:ascii="ＭＳ ゴシック" w:eastAsia="ＭＳ ゴシック" w:hAnsi="ＭＳ ゴシック" w:hint="eastAsia"/>
          <w:szCs w:val="24"/>
        </w:rPr>
        <w:t>純利益（純損失）の推移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p w:rsidR="00AC1638" w:rsidRDefault="00AC1638" w:rsidP="00AC1638">
      <w:pPr>
        <w:rPr>
          <w:sz w:val="22"/>
        </w:rPr>
      </w:pPr>
      <w:r>
        <w:rPr>
          <w:noProof/>
          <w:sz w:val="22"/>
        </w:rPr>
        <w:drawing>
          <wp:inline distT="0" distB="0" distL="0" distR="0">
            <wp:extent cx="6086475" cy="3086100"/>
            <wp:effectExtent l="19050" t="0" r="9525"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C1638" w:rsidRDefault="00AC1638" w:rsidP="00AC1638">
      <w:pPr>
        <w:ind w:leftChars="100" w:left="219" w:rightChars="30" w:right="66" w:firstLineChars="100" w:firstLine="219"/>
        <w:rPr>
          <w:rFonts w:hAnsi="ＭＳ 明朝"/>
          <w:szCs w:val="24"/>
        </w:rPr>
      </w:pPr>
    </w:p>
    <w:p w:rsidR="00AC1638" w:rsidRPr="0066107A" w:rsidRDefault="00AC1638" w:rsidP="00AC1638">
      <w:pPr>
        <w:ind w:leftChars="100" w:left="219" w:rightChars="30" w:right="66" w:firstLineChars="100" w:firstLine="219"/>
        <w:rPr>
          <w:rFonts w:hAnsi="ＭＳ 明朝"/>
          <w:szCs w:val="24"/>
        </w:rPr>
      </w:pPr>
      <w:r w:rsidRPr="002A2441">
        <w:rPr>
          <w:rFonts w:hAnsi="ＭＳ 明朝" w:hint="eastAsia"/>
          <w:szCs w:val="24"/>
        </w:rPr>
        <w:t>収益</w:t>
      </w:r>
      <w:r w:rsidRPr="0066107A">
        <w:rPr>
          <w:rFonts w:hAnsi="ＭＳ 明朝" w:hint="eastAsia"/>
          <w:szCs w:val="24"/>
        </w:rPr>
        <w:t>3,215,976</w:t>
      </w:r>
      <w:r w:rsidRPr="002A2441">
        <w:rPr>
          <w:rFonts w:hAnsi="ＭＳ 明朝" w:hint="eastAsia"/>
          <w:szCs w:val="24"/>
        </w:rPr>
        <w:t>千円</w:t>
      </w:r>
      <w:r w:rsidRPr="002A2441">
        <w:rPr>
          <w:rFonts w:ascii="ＭＳ Ｐ明朝" w:eastAsia="ＭＳ Ｐ明朝" w:hAnsi="ＭＳ Ｐ明朝" w:hint="eastAsia"/>
          <w:szCs w:val="24"/>
        </w:rPr>
        <w:t>に対し、</w:t>
      </w:r>
      <w:r w:rsidRPr="002A2441">
        <w:rPr>
          <w:rFonts w:hAnsi="ＭＳ 明朝" w:hint="eastAsia"/>
          <w:szCs w:val="24"/>
        </w:rPr>
        <w:t>費用は</w:t>
      </w:r>
      <w:r w:rsidRPr="0066107A">
        <w:rPr>
          <w:rFonts w:hAnsi="ＭＳ 明朝" w:hint="eastAsia"/>
          <w:szCs w:val="24"/>
        </w:rPr>
        <w:t>2,520,787千円</w:t>
      </w:r>
      <w:r w:rsidRPr="0066107A">
        <w:rPr>
          <w:rFonts w:ascii="ＭＳ Ｐ明朝" w:eastAsia="ＭＳ Ｐ明朝" w:hAnsi="ＭＳ Ｐ明朝" w:hint="eastAsia"/>
          <w:szCs w:val="24"/>
        </w:rPr>
        <w:t>となっており、</w:t>
      </w:r>
      <w:r w:rsidRPr="0066107A">
        <w:rPr>
          <w:rFonts w:hAnsi="ＭＳ 明朝" w:hint="eastAsia"/>
          <w:szCs w:val="24"/>
        </w:rPr>
        <w:t>695,189千円の当年度純利益が生じている。</w:t>
      </w:r>
    </w:p>
    <w:p w:rsidR="00AC1638" w:rsidRDefault="00AC1638" w:rsidP="00AC1638">
      <w:pPr>
        <w:ind w:leftChars="100" w:left="219" w:rightChars="30" w:right="66" w:firstLineChars="100" w:firstLine="219"/>
        <w:rPr>
          <w:rFonts w:hAnsi="ＭＳ 明朝"/>
          <w:szCs w:val="24"/>
        </w:rPr>
      </w:pPr>
      <w:r w:rsidRPr="0066107A">
        <w:rPr>
          <w:rFonts w:hAnsi="ＭＳ 明朝" w:hint="eastAsia"/>
          <w:szCs w:val="24"/>
        </w:rPr>
        <w:t>前年度に比べ153,752千円(28.4％)の増益となっている。</w:t>
      </w:r>
    </w:p>
    <w:p w:rsidR="00AC1638" w:rsidRPr="006235EE" w:rsidRDefault="00AC1638" w:rsidP="00AC1638">
      <w:pPr>
        <w:ind w:leftChars="100" w:left="219" w:rightChars="30" w:right="66" w:firstLineChars="100" w:firstLine="219"/>
        <w:rPr>
          <w:rFonts w:hAnsi="ＭＳ 明朝"/>
          <w:szCs w:val="24"/>
        </w:rPr>
      </w:pPr>
    </w:p>
    <w:p w:rsidR="00AC1638" w:rsidRDefault="00AC1638" w:rsidP="00AC1638">
      <w:pPr>
        <w:rPr>
          <w:sz w:val="22"/>
        </w:rPr>
      </w:pPr>
    </w:p>
    <w:p w:rsidR="00AC1638" w:rsidRPr="002A2441" w:rsidRDefault="00AC1638" w:rsidP="00AC1638">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⑴</w:t>
      </w:r>
      <w:r w:rsidRPr="002A2441">
        <w:rPr>
          <w:rFonts w:ascii="ＭＳ ゴシック" w:eastAsia="ＭＳ ゴシック" w:hAnsi="ＭＳ ゴシック" w:hint="eastAsia"/>
          <w:szCs w:val="24"/>
        </w:rPr>
        <w:t xml:space="preserve">　収益の部</w:t>
      </w:r>
    </w:p>
    <w:p w:rsidR="00AC1638" w:rsidRPr="002A2441" w:rsidRDefault="00AC1638" w:rsidP="00AC1638">
      <w:pPr>
        <w:ind w:firstLineChars="300" w:firstLine="657"/>
        <w:rPr>
          <w:szCs w:val="24"/>
        </w:rPr>
      </w:pPr>
      <w:r w:rsidRPr="002A2441">
        <w:rPr>
          <w:rFonts w:hint="eastAsia"/>
          <w:szCs w:val="24"/>
        </w:rPr>
        <w:t>収益の内訳は、下表のとおりである。</w:t>
      </w:r>
    </w:p>
    <w:p w:rsidR="00AC1638" w:rsidRPr="002A2441" w:rsidRDefault="00AC1638" w:rsidP="00AC1638">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AC1638" w:rsidRPr="00267060" w:rsidRDefault="00AC1638" w:rsidP="00AC1638">
      <w:pPr>
        <w:tabs>
          <w:tab w:val="left" w:pos="6379"/>
        </w:tabs>
        <w:rPr>
          <w:sz w:val="22"/>
        </w:rPr>
      </w:pPr>
      <w:r w:rsidRPr="00534ACC">
        <w:rPr>
          <w:sz w:val="22"/>
        </w:rPr>
        <w:object w:dxaOrig="8680" w:dyaOrig="5830">
          <v:shape id="_x0000_i1029" type="#_x0000_t75" style="width:486pt;height:251.25pt" o:ole="" o:preferrelative="f">
            <v:imagedata r:id="rId20" o:title=""/>
          </v:shape>
          <o:OLEObject Type="Embed" ProgID="Excel.Sheet.12" ShapeID="_x0000_i1029" DrawAspect="Content" ObjectID="_1568638571" r:id="rId21"/>
        </w:object>
      </w:r>
    </w:p>
    <w:p w:rsidR="00AC1638" w:rsidRPr="002A2441" w:rsidRDefault="00AC1638" w:rsidP="00AC1638">
      <w:pPr>
        <w:ind w:firstLineChars="100" w:firstLine="219"/>
        <w:rPr>
          <w:szCs w:val="24"/>
        </w:rPr>
      </w:pPr>
      <w:r>
        <w:rPr>
          <w:rFonts w:ascii="ＭＳ ゴシック" w:eastAsia="ＭＳ ゴシック" w:hAnsi="ＭＳ ゴシック" w:hint="eastAsia"/>
          <w:szCs w:val="24"/>
        </w:rPr>
        <w:t>収益率の推</w:t>
      </w:r>
      <w:r w:rsidRPr="002A2441">
        <w:rPr>
          <w:rFonts w:ascii="ＭＳ ゴシック" w:eastAsia="ＭＳ ゴシック" w:hAnsi="ＭＳ ゴシック" w:hint="eastAsia"/>
          <w:szCs w:val="24"/>
        </w:rPr>
        <w:t xml:space="preserve">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w:t>
      </w:r>
    </w:p>
    <w:p w:rsidR="00AC1638" w:rsidRPr="002F26FC" w:rsidRDefault="00AC1638" w:rsidP="00AC1638">
      <w:pPr>
        <w:rPr>
          <w:rFonts w:hAnsi="ＭＳ 明朝"/>
          <w:sz w:val="18"/>
          <w:szCs w:val="18"/>
        </w:rPr>
      </w:pPr>
      <w:r>
        <w:rPr>
          <w:noProof/>
          <w:sz w:val="22"/>
        </w:rPr>
        <w:drawing>
          <wp:inline distT="0" distB="0" distL="0" distR="0">
            <wp:extent cx="6143625" cy="1571625"/>
            <wp:effectExtent l="19050" t="0" r="9525" b="0"/>
            <wp:docPr id="3"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2F26FC">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Pr="002F26FC">
        <w:rPr>
          <w:rFonts w:hAnsi="ＭＳ 明朝" w:hint="eastAsia"/>
          <w:sz w:val="18"/>
          <w:szCs w:val="18"/>
        </w:rPr>
        <w:t>(注)  1　営業収支比率＝(営業収益-受託事業収益)÷(営業費用-受託事業費用)×100</w:t>
      </w:r>
    </w:p>
    <w:p w:rsidR="00AC1638" w:rsidRDefault="00AC1638" w:rsidP="00AC1638">
      <w:pPr>
        <w:kinsoku w:val="0"/>
        <w:overflowPunct w:val="0"/>
        <w:snapToGrid w:val="0"/>
        <w:spacing w:line="240" w:lineRule="atLeast"/>
        <w:ind w:right="1020" w:firstLineChars="500" w:firstLine="795"/>
        <w:jc w:val="left"/>
        <w:rPr>
          <w:rFonts w:hAnsi="ＭＳ 明朝"/>
          <w:sz w:val="18"/>
          <w:szCs w:val="18"/>
        </w:rPr>
      </w:pPr>
      <w:r w:rsidRPr="002F26FC">
        <w:rPr>
          <w:rFonts w:hAnsi="ＭＳ 明朝" w:hint="eastAsia"/>
          <w:sz w:val="18"/>
          <w:szCs w:val="18"/>
        </w:rPr>
        <w:t>2　総収支比率＝総収益÷総費用×100</w:t>
      </w:r>
    </w:p>
    <w:p w:rsidR="00AC1638" w:rsidRPr="00E62F67" w:rsidRDefault="00AC1638" w:rsidP="00AC1638">
      <w:pPr>
        <w:kinsoku w:val="0"/>
        <w:overflowPunct w:val="0"/>
        <w:snapToGrid w:val="0"/>
        <w:spacing w:line="240" w:lineRule="atLeast"/>
        <w:ind w:right="1020"/>
        <w:jc w:val="left"/>
        <w:rPr>
          <w:rFonts w:hAnsi="ＭＳ 明朝"/>
          <w:sz w:val="18"/>
          <w:szCs w:val="18"/>
        </w:rPr>
      </w:pPr>
    </w:p>
    <w:p w:rsidR="00AC1638" w:rsidRPr="002A2441" w:rsidRDefault="00AC1638" w:rsidP="00AC1638">
      <w:pPr>
        <w:kinsoku w:val="0"/>
        <w:overflowPunct w:val="0"/>
        <w:snapToGrid w:val="0"/>
        <w:spacing w:line="340" w:lineRule="atLeast"/>
        <w:ind w:right="72" w:firstLineChars="200" w:firstLine="438"/>
        <w:rPr>
          <w:rFonts w:hAnsi="ＭＳ 明朝"/>
          <w:szCs w:val="24"/>
        </w:rPr>
      </w:pPr>
      <w:r w:rsidRPr="002A2441">
        <w:rPr>
          <w:rFonts w:hAnsi="ＭＳ 明朝" w:hint="eastAsia"/>
          <w:szCs w:val="24"/>
        </w:rPr>
        <w:t>ア</w:t>
      </w:r>
      <w:r>
        <w:rPr>
          <w:rFonts w:hAnsi="ＭＳ 明朝" w:hint="eastAsia"/>
          <w:szCs w:val="24"/>
        </w:rPr>
        <w:t xml:space="preserve">　</w:t>
      </w:r>
      <w:r w:rsidRPr="002A2441">
        <w:rPr>
          <w:rFonts w:hAnsi="ＭＳ 明朝" w:hint="eastAsia"/>
          <w:kern w:val="0"/>
          <w:szCs w:val="24"/>
        </w:rPr>
        <w:t>営業収益</w:t>
      </w:r>
    </w:p>
    <w:p w:rsidR="00AC1638" w:rsidRPr="002A2441" w:rsidRDefault="00AC1638" w:rsidP="00AC1638">
      <w:pPr>
        <w:kinsoku w:val="0"/>
        <w:overflowPunct w:val="0"/>
        <w:snapToGrid w:val="0"/>
        <w:spacing w:line="340" w:lineRule="atLeast"/>
        <w:ind w:right="-428" w:firstLineChars="400" w:firstLine="876"/>
        <w:rPr>
          <w:rFonts w:hAnsi="ＭＳ 明朝"/>
          <w:szCs w:val="24"/>
        </w:rPr>
      </w:pPr>
      <w:r w:rsidRPr="002A2441">
        <w:rPr>
          <w:rFonts w:hAnsi="ＭＳ 明朝" w:hint="eastAsia"/>
          <w:szCs w:val="24"/>
        </w:rPr>
        <w:t>営業収益は</w:t>
      </w:r>
      <w:r w:rsidRPr="0066107A">
        <w:rPr>
          <w:rFonts w:hAnsi="ＭＳ 明朝" w:hint="eastAsia"/>
          <w:szCs w:val="24"/>
        </w:rPr>
        <w:t>2,782,229千円で、前年度に比べ15,731千円(0.6％)</w:t>
      </w:r>
      <w:r>
        <w:rPr>
          <w:rFonts w:hAnsi="ＭＳ 明朝" w:hint="eastAsia"/>
          <w:szCs w:val="24"/>
        </w:rPr>
        <w:t>増加</w:t>
      </w:r>
      <w:r w:rsidRPr="002A2441">
        <w:rPr>
          <w:rFonts w:hAnsi="ＭＳ 明朝" w:hint="eastAsia"/>
          <w:szCs w:val="24"/>
        </w:rPr>
        <w:t>している。</w:t>
      </w:r>
    </w:p>
    <w:p w:rsidR="00AC1638" w:rsidRPr="002A2441" w:rsidRDefault="00AC1638" w:rsidP="00AC1638">
      <w:pPr>
        <w:kinsoku w:val="0"/>
        <w:overflowPunct w:val="0"/>
        <w:snapToGrid w:val="0"/>
        <w:spacing w:line="340" w:lineRule="atLeast"/>
        <w:ind w:leftChars="323" w:left="708" w:right="-2" w:firstLineChars="76" w:firstLine="166"/>
        <w:rPr>
          <w:rFonts w:hAnsi="ＭＳ 明朝"/>
          <w:szCs w:val="24"/>
        </w:rPr>
      </w:pPr>
      <w:r w:rsidRPr="002A2441">
        <w:rPr>
          <w:rFonts w:hAnsi="ＭＳ 明朝" w:hint="eastAsia"/>
          <w:szCs w:val="24"/>
        </w:rPr>
        <w:t>これは主に、</w:t>
      </w:r>
      <w:r w:rsidRPr="00621D5D">
        <w:rPr>
          <w:rFonts w:hAnsi="ＭＳ 明朝" w:hint="eastAsia"/>
          <w:szCs w:val="24"/>
        </w:rPr>
        <w:t>給水収益が減少したものの</w:t>
      </w:r>
      <w:r>
        <w:rPr>
          <w:rFonts w:hAnsi="ＭＳ 明朝" w:hint="eastAsia"/>
          <w:szCs w:val="24"/>
        </w:rPr>
        <w:t>、</w:t>
      </w:r>
      <w:r w:rsidRPr="0066107A">
        <w:rPr>
          <w:rFonts w:hAnsi="ＭＳ 明朝" w:hint="eastAsia"/>
          <w:szCs w:val="24"/>
        </w:rPr>
        <w:t>水道利用加入金が増加したものである</w:t>
      </w:r>
      <w:r w:rsidRPr="002A2441">
        <w:rPr>
          <w:rFonts w:hAnsi="ＭＳ 明朝" w:hint="eastAsia"/>
          <w:szCs w:val="24"/>
        </w:rPr>
        <w:t>。</w:t>
      </w:r>
    </w:p>
    <w:p w:rsidR="00AC1638" w:rsidRPr="002A2441" w:rsidRDefault="00AC1638" w:rsidP="00AC1638">
      <w:pPr>
        <w:kinsoku w:val="0"/>
        <w:overflowPunct w:val="0"/>
        <w:snapToGrid w:val="0"/>
        <w:spacing w:line="340" w:lineRule="atLeast"/>
        <w:ind w:left="1" w:right="-428" w:hanging="1"/>
        <w:rPr>
          <w:rFonts w:ascii="ＭＳ Ｐ明朝" w:eastAsia="ＭＳ Ｐ明朝" w:hAnsi="ＭＳ Ｐ明朝"/>
          <w:szCs w:val="24"/>
        </w:rPr>
      </w:pPr>
    </w:p>
    <w:p w:rsidR="00AC1638" w:rsidRPr="005A2A48" w:rsidRDefault="00AC1638" w:rsidP="00AC1638">
      <w:pPr>
        <w:kinsoku w:val="0"/>
        <w:overflowPunct w:val="0"/>
        <w:snapToGrid w:val="0"/>
        <w:spacing w:line="340" w:lineRule="atLeast"/>
        <w:ind w:right="-454" w:firstLineChars="200" w:firstLine="438"/>
        <w:rPr>
          <w:rFonts w:ascii="ＭＳ Ｐ明朝" w:eastAsia="ＭＳ Ｐ明朝" w:hAnsi="ＭＳ Ｐ明朝"/>
          <w:szCs w:val="24"/>
        </w:rPr>
      </w:pPr>
      <w:r w:rsidRPr="005A2A48">
        <w:rPr>
          <w:rFonts w:asciiTheme="minorEastAsia" w:eastAsiaTheme="minorEastAsia" w:hAnsiTheme="minorEastAsia" w:hint="eastAsia"/>
          <w:szCs w:val="24"/>
        </w:rPr>
        <w:t>イ</w:t>
      </w:r>
      <w:r>
        <w:rPr>
          <w:rFonts w:asciiTheme="minorEastAsia" w:eastAsiaTheme="minorEastAsia" w:hAnsiTheme="minorEastAsia" w:hint="eastAsia"/>
          <w:szCs w:val="24"/>
        </w:rPr>
        <w:t xml:space="preserve">　</w:t>
      </w:r>
      <w:r w:rsidRPr="005A2A48">
        <w:rPr>
          <w:rFonts w:ascii="ＭＳ Ｐ明朝" w:eastAsia="ＭＳ Ｐ明朝" w:hAnsi="ＭＳ Ｐ明朝" w:hint="eastAsia"/>
          <w:kern w:val="0"/>
          <w:szCs w:val="24"/>
        </w:rPr>
        <w:t>営業外収益</w:t>
      </w:r>
    </w:p>
    <w:p w:rsidR="00AC1638" w:rsidRPr="005A2A48" w:rsidRDefault="00AC1638" w:rsidP="00AC1638">
      <w:pPr>
        <w:kinsoku w:val="0"/>
        <w:overflowPunct w:val="0"/>
        <w:snapToGrid w:val="0"/>
        <w:spacing w:line="340" w:lineRule="atLeast"/>
        <w:ind w:leftChars="-14" w:left="-31" w:right="-428" w:firstLineChars="402" w:firstLine="881"/>
        <w:rPr>
          <w:rFonts w:asciiTheme="minorEastAsia" w:eastAsiaTheme="minorEastAsia" w:hAnsiTheme="minorEastAsia"/>
          <w:szCs w:val="24"/>
        </w:rPr>
      </w:pPr>
      <w:r w:rsidRPr="005A2A48">
        <w:rPr>
          <w:rFonts w:asciiTheme="minorEastAsia" w:eastAsiaTheme="minorEastAsia" w:hAnsiTheme="minorEastAsia" w:hint="eastAsia"/>
          <w:szCs w:val="24"/>
        </w:rPr>
        <w:t>営業外収益は</w:t>
      </w:r>
      <w:r w:rsidRPr="0066107A">
        <w:rPr>
          <w:rFonts w:asciiTheme="minorEastAsia" w:eastAsiaTheme="minorEastAsia" w:hAnsiTheme="minorEastAsia" w:hint="eastAsia"/>
          <w:szCs w:val="24"/>
        </w:rPr>
        <w:t>391,936千円で、前年度に比べ6,529千円(△1.6％</w:t>
      </w:r>
      <w:r>
        <w:rPr>
          <w:rFonts w:asciiTheme="minorEastAsia" w:eastAsiaTheme="minorEastAsia" w:hAnsiTheme="minorEastAsia" w:hint="eastAsia"/>
          <w:szCs w:val="24"/>
        </w:rPr>
        <w:t>)減少</w:t>
      </w:r>
      <w:r w:rsidRPr="005A2A48">
        <w:rPr>
          <w:rFonts w:asciiTheme="minorEastAsia" w:eastAsiaTheme="minorEastAsia" w:hAnsiTheme="minorEastAsia" w:hint="eastAsia"/>
          <w:szCs w:val="24"/>
        </w:rPr>
        <w:t>している。</w:t>
      </w:r>
    </w:p>
    <w:p w:rsidR="00AC1638" w:rsidRPr="002A2441" w:rsidRDefault="00AC1638" w:rsidP="00AC1638">
      <w:pPr>
        <w:kinsoku w:val="0"/>
        <w:overflowPunct w:val="0"/>
        <w:snapToGrid w:val="0"/>
        <w:spacing w:line="340" w:lineRule="atLeast"/>
        <w:ind w:leftChars="323" w:left="708" w:right="-2" w:firstLineChars="76" w:firstLine="166"/>
        <w:rPr>
          <w:rFonts w:hAnsi="ＭＳ 明朝"/>
          <w:szCs w:val="24"/>
        </w:rPr>
      </w:pPr>
      <w:r w:rsidRPr="005A2A48">
        <w:rPr>
          <w:rFonts w:asciiTheme="minorEastAsia" w:eastAsiaTheme="minorEastAsia" w:hAnsiTheme="minorEastAsia" w:hint="eastAsia"/>
          <w:szCs w:val="24"/>
        </w:rPr>
        <w:t>これは主に、</w:t>
      </w:r>
      <w:r w:rsidRPr="00621D5D">
        <w:rPr>
          <w:rFonts w:asciiTheme="minorEastAsia" w:eastAsiaTheme="minorEastAsia" w:hAnsiTheme="minorEastAsia" w:hint="eastAsia"/>
          <w:szCs w:val="24"/>
        </w:rPr>
        <w:t>下水道受託手数料及び</w:t>
      </w:r>
      <w:r w:rsidRPr="00621D5D">
        <w:rPr>
          <w:rFonts w:hAnsi="ＭＳ 明朝" w:hint="eastAsia"/>
          <w:szCs w:val="24"/>
        </w:rPr>
        <w:t>長期前受金戻入が減少</w:t>
      </w:r>
      <w:r w:rsidRPr="002A2441">
        <w:rPr>
          <w:rFonts w:hAnsi="ＭＳ 明朝" w:hint="eastAsia"/>
          <w:szCs w:val="24"/>
        </w:rPr>
        <w:t>したことによるものである。</w:t>
      </w:r>
    </w:p>
    <w:p w:rsidR="00AC1638" w:rsidRPr="00431BB4" w:rsidRDefault="00AC1638" w:rsidP="00AC1638">
      <w:pPr>
        <w:kinsoku w:val="0"/>
        <w:overflowPunct w:val="0"/>
        <w:snapToGrid w:val="0"/>
        <w:spacing w:line="340" w:lineRule="atLeast"/>
        <w:ind w:leftChars="300" w:left="657" w:right="-3" w:firstLineChars="100" w:firstLine="219"/>
        <w:jc w:val="left"/>
        <w:rPr>
          <w:rFonts w:asciiTheme="minorEastAsia" w:eastAsiaTheme="minorEastAsia" w:hAnsiTheme="minorEastAsia"/>
          <w:szCs w:val="24"/>
        </w:rPr>
      </w:pPr>
    </w:p>
    <w:p w:rsidR="00AC1638" w:rsidRPr="002A2441" w:rsidRDefault="00AC1638" w:rsidP="00AC1638">
      <w:pPr>
        <w:kinsoku w:val="0"/>
        <w:overflowPunct w:val="0"/>
        <w:snapToGrid w:val="0"/>
        <w:spacing w:line="240" w:lineRule="atLeast"/>
        <w:ind w:right="1020" w:firstLineChars="200" w:firstLine="438"/>
        <w:rPr>
          <w:rFonts w:ascii="ＭＳ Ｐ明朝" w:eastAsia="ＭＳ Ｐ明朝" w:hAnsi="ＭＳ Ｐ明朝"/>
          <w:szCs w:val="24"/>
        </w:rPr>
      </w:pPr>
      <w:r w:rsidRPr="002A2441">
        <w:rPr>
          <w:rFonts w:hAnsi="ＭＳ 明朝" w:hint="eastAsia"/>
          <w:szCs w:val="24"/>
        </w:rPr>
        <w:t>ウ</w:t>
      </w:r>
      <w:r>
        <w:rPr>
          <w:rFonts w:hAnsi="ＭＳ 明朝" w:hint="eastAsia"/>
          <w:szCs w:val="24"/>
        </w:rPr>
        <w:t xml:space="preserve">　</w:t>
      </w:r>
      <w:r w:rsidRPr="002A2441">
        <w:rPr>
          <w:rFonts w:hAnsi="ＭＳ 明朝" w:hint="eastAsia"/>
          <w:kern w:val="0"/>
          <w:szCs w:val="24"/>
        </w:rPr>
        <w:t>特別利益</w:t>
      </w:r>
    </w:p>
    <w:p w:rsidR="00AC1638" w:rsidRPr="0066107A" w:rsidRDefault="00AC1638" w:rsidP="00AC1638">
      <w:pPr>
        <w:kinsoku w:val="0"/>
        <w:overflowPunct w:val="0"/>
        <w:snapToGrid w:val="0"/>
        <w:spacing w:line="240" w:lineRule="atLeast"/>
        <w:ind w:rightChars="-50" w:right="-110" w:firstLineChars="390" w:firstLine="854"/>
        <w:rPr>
          <w:rFonts w:hAnsi="ＭＳ 明朝"/>
          <w:snapToGrid w:val="0"/>
          <w:szCs w:val="24"/>
        </w:rPr>
      </w:pPr>
      <w:r w:rsidRPr="000A38CD">
        <w:rPr>
          <w:rFonts w:hAnsi="ＭＳ 明朝" w:hint="eastAsia"/>
          <w:snapToGrid w:val="0"/>
          <w:szCs w:val="24"/>
        </w:rPr>
        <w:t>特別利益は</w:t>
      </w:r>
      <w:r w:rsidRPr="0066107A">
        <w:rPr>
          <w:rFonts w:hAnsi="ＭＳ 明朝" w:hint="eastAsia"/>
          <w:snapToGrid w:val="0"/>
          <w:szCs w:val="24"/>
        </w:rPr>
        <w:t>41,811千円で、前年度に比べ3,410千円(△7.5％)減少している。</w:t>
      </w:r>
    </w:p>
    <w:p w:rsidR="00AC1638" w:rsidRPr="00431BB4" w:rsidRDefault="00AC1638" w:rsidP="00AC1638">
      <w:pPr>
        <w:kinsoku w:val="0"/>
        <w:overflowPunct w:val="0"/>
        <w:snapToGrid w:val="0"/>
        <w:spacing w:line="240" w:lineRule="atLeast"/>
        <w:ind w:firstLineChars="388" w:firstLine="850"/>
        <w:rPr>
          <w:rFonts w:hAnsi="ＭＳ 明朝"/>
          <w:snapToGrid w:val="0"/>
          <w:kern w:val="0"/>
          <w:szCs w:val="24"/>
        </w:rPr>
      </w:pPr>
      <w:r w:rsidRPr="0066107A">
        <w:rPr>
          <w:rFonts w:hAnsi="ＭＳ 明朝" w:hint="eastAsia"/>
          <w:snapToGrid w:val="0"/>
          <w:kern w:val="0"/>
          <w:szCs w:val="24"/>
        </w:rPr>
        <w:t>これは主に、退職給付引当金戻入益の減少による</w:t>
      </w:r>
      <w:r w:rsidRPr="000519F1">
        <w:rPr>
          <w:rFonts w:hAnsi="ＭＳ 明朝" w:hint="eastAsia"/>
          <w:snapToGrid w:val="0"/>
          <w:kern w:val="0"/>
          <w:szCs w:val="24"/>
        </w:rPr>
        <w:t>ものである。</w:t>
      </w:r>
    </w:p>
    <w:p w:rsidR="00AC1638" w:rsidRDefault="00AC1638" w:rsidP="00AC1638">
      <w:pPr>
        <w:ind w:firstLineChars="100" w:firstLine="219"/>
        <w:rPr>
          <w:rFonts w:ascii="ＭＳ ゴシック" w:eastAsia="ＭＳ ゴシック" w:hAnsi="ＭＳ ゴシック"/>
          <w:szCs w:val="24"/>
        </w:rPr>
      </w:pPr>
    </w:p>
    <w:p w:rsidR="00AC1638" w:rsidRDefault="00AC1638" w:rsidP="00AC1638">
      <w:pPr>
        <w:ind w:firstLineChars="100" w:firstLine="219"/>
        <w:rPr>
          <w:rFonts w:ascii="ＭＳ ゴシック" w:eastAsia="ＭＳ ゴシック" w:hAnsi="ＭＳ ゴシック"/>
          <w:szCs w:val="24"/>
        </w:rPr>
      </w:pPr>
    </w:p>
    <w:p w:rsidR="00AC1638" w:rsidRPr="002A2441" w:rsidRDefault="00AC1638" w:rsidP="00AC1638">
      <w:pPr>
        <w:ind w:firstLineChars="100" w:firstLine="219"/>
        <w:rPr>
          <w:szCs w:val="24"/>
        </w:rPr>
      </w:pPr>
      <w:r w:rsidRPr="002A2441">
        <w:rPr>
          <w:rFonts w:ascii="ＭＳ ゴシック" w:eastAsia="ＭＳ ゴシック" w:hAnsi="ＭＳ ゴシック" w:hint="eastAsia"/>
          <w:szCs w:val="24"/>
        </w:rPr>
        <w:lastRenderedPageBreak/>
        <w:t xml:space="preserve">総配水量に対する有効水量と無効水量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w:t>
      </w:r>
    </w:p>
    <w:bookmarkStart w:id="5" w:name="_MON_1436097558"/>
    <w:bookmarkEnd w:id="5"/>
    <w:p w:rsidR="00AC1638" w:rsidRPr="007F033E" w:rsidRDefault="00AC1638" w:rsidP="00AC1638">
      <w:pPr>
        <w:rPr>
          <w:sz w:val="18"/>
          <w:szCs w:val="18"/>
        </w:rPr>
      </w:pPr>
      <w:r w:rsidRPr="00534ACC">
        <w:rPr>
          <w:sz w:val="22"/>
        </w:rPr>
        <w:object w:dxaOrig="10143" w:dyaOrig="5081">
          <v:shape id="_x0000_i1030" type="#_x0000_t75" style="width:481.5pt;height:205.5pt" o:ole="" o:preferrelative="f">
            <v:imagedata r:id="rId23" o:title=""/>
          </v:shape>
          <o:OLEObject Type="Embed" ProgID="Excel.Sheet.12" ShapeID="_x0000_i1030" DrawAspect="Content" ObjectID="_1568638572" r:id="rId24"/>
        </w:object>
      </w:r>
      <w:r>
        <w:rPr>
          <w:rFonts w:hint="eastAsia"/>
          <w:sz w:val="22"/>
        </w:rPr>
        <w:t xml:space="preserve">　</w:t>
      </w:r>
      <w:r w:rsidRPr="007F033E">
        <w:rPr>
          <w:rFonts w:hint="eastAsia"/>
          <w:sz w:val="18"/>
          <w:szCs w:val="18"/>
        </w:rPr>
        <w:t>（注）</w:t>
      </w:r>
      <w:r>
        <w:rPr>
          <w:rFonts w:hint="eastAsia"/>
          <w:sz w:val="18"/>
          <w:szCs w:val="18"/>
        </w:rPr>
        <w:t xml:space="preserve">　</w:t>
      </w:r>
      <w:r w:rsidRPr="007F033E">
        <w:rPr>
          <w:rFonts w:hint="eastAsia"/>
          <w:sz w:val="18"/>
          <w:szCs w:val="18"/>
        </w:rPr>
        <w:t>有収水量は、年度当初の検針から年度末までの調定水量である。</w:t>
      </w:r>
    </w:p>
    <w:p w:rsidR="00AC1638" w:rsidRDefault="00AC1638" w:rsidP="00AC1638">
      <w:pPr>
        <w:ind w:firstLineChars="400" w:firstLine="636"/>
        <w:rPr>
          <w:sz w:val="18"/>
          <w:szCs w:val="18"/>
        </w:rPr>
      </w:pPr>
      <w:r>
        <w:rPr>
          <w:rFonts w:hint="eastAsia"/>
          <w:sz w:val="18"/>
          <w:szCs w:val="18"/>
        </w:rPr>
        <w:t>なお、検針は市内を２つに分けて、２か</w:t>
      </w:r>
      <w:r w:rsidRPr="007F033E">
        <w:rPr>
          <w:rFonts w:hint="eastAsia"/>
          <w:sz w:val="18"/>
          <w:szCs w:val="18"/>
        </w:rPr>
        <w:t>月に１回の隔月検針である。</w:t>
      </w:r>
    </w:p>
    <w:p w:rsidR="00AC1638" w:rsidRPr="007F033E" w:rsidRDefault="00AC1638" w:rsidP="00AC1638">
      <w:pPr>
        <w:ind w:firstLineChars="400" w:firstLine="636"/>
        <w:rPr>
          <w:sz w:val="18"/>
          <w:szCs w:val="18"/>
        </w:rPr>
      </w:pPr>
    </w:p>
    <w:p w:rsidR="00AC1638" w:rsidRPr="000A38CD" w:rsidRDefault="00AC1638" w:rsidP="00AC1638">
      <w:pPr>
        <w:kinsoku w:val="0"/>
        <w:wordWrap w:val="0"/>
        <w:overflowPunct w:val="0"/>
        <w:snapToGrid w:val="0"/>
        <w:spacing w:line="362" w:lineRule="exact"/>
        <w:ind w:right="72" w:firstLineChars="200" w:firstLine="438"/>
        <w:rPr>
          <w:rFonts w:hAnsi="ＭＳ 明朝"/>
          <w:szCs w:val="24"/>
        </w:rPr>
      </w:pPr>
      <w:r>
        <w:rPr>
          <w:rFonts w:hAnsi="ＭＳ 明朝" w:hint="eastAsia"/>
          <w:szCs w:val="24"/>
        </w:rPr>
        <w:t>総配水量は</w:t>
      </w:r>
      <w:r w:rsidRPr="0066107A">
        <w:rPr>
          <w:rFonts w:hAnsi="ＭＳ 明朝" w:hint="eastAsia"/>
          <w:szCs w:val="24"/>
        </w:rPr>
        <w:t>15,677,550㎥で、前年度に比べ130,050㎥ (△0.8％)</w:t>
      </w:r>
      <w:r w:rsidRPr="00BC6562">
        <w:rPr>
          <w:rFonts w:hAnsi="ＭＳ 明朝" w:hint="eastAsia"/>
          <w:szCs w:val="24"/>
        </w:rPr>
        <w:t>減少している。</w:t>
      </w:r>
    </w:p>
    <w:p w:rsidR="00AC1638" w:rsidRPr="00621D5D" w:rsidRDefault="00AC1638" w:rsidP="00AC1638">
      <w:pPr>
        <w:kinsoku w:val="0"/>
        <w:overflowPunct w:val="0"/>
        <w:snapToGrid w:val="0"/>
        <w:spacing w:line="362" w:lineRule="exact"/>
        <w:ind w:leftChars="100" w:left="219" w:firstLineChars="100" w:firstLine="219"/>
        <w:rPr>
          <w:rFonts w:hAnsi="ＭＳ 明朝"/>
          <w:szCs w:val="24"/>
        </w:rPr>
      </w:pPr>
      <w:r w:rsidRPr="00621D5D">
        <w:rPr>
          <w:rFonts w:hAnsi="ＭＳ 明朝" w:hint="eastAsia"/>
          <w:szCs w:val="24"/>
        </w:rPr>
        <w:t>有効水量は前年度に比べ101,126㎥（△0.7％）減少し、無効水量は前年度に比べ28,924㎥</w:t>
      </w:r>
    </w:p>
    <w:p w:rsidR="00AC1638" w:rsidRPr="00621D5D" w:rsidRDefault="00AC1638" w:rsidP="00AC1638">
      <w:pPr>
        <w:kinsoku w:val="0"/>
        <w:overflowPunct w:val="0"/>
        <w:snapToGrid w:val="0"/>
        <w:spacing w:line="362" w:lineRule="exact"/>
        <w:rPr>
          <w:rFonts w:hAnsi="ＭＳ 明朝"/>
          <w:szCs w:val="24"/>
        </w:rPr>
      </w:pPr>
      <w:r w:rsidRPr="00621D5D">
        <w:rPr>
          <w:rFonts w:hAnsi="ＭＳ 明朝" w:hint="eastAsia"/>
          <w:szCs w:val="24"/>
        </w:rPr>
        <w:t>（△3.0％）減少している。有収水量は14,202,930㎥で、前年度に比べ23,913㎥（△0.2％）減少</w:t>
      </w:r>
    </w:p>
    <w:p w:rsidR="00AC1638" w:rsidRPr="003E54A9" w:rsidRDefault="00AC1638" w:rsidP="00AC1638">
      <w:pPr>
        <w:kinsoku w:val="0"/>
        <w:overflowPunct w:val="0"/>
        <w:snapToGrid w:val="0"/>
        <w:spacing w:line="362" w:lineRule="exact"/>
        <w:ind w:firstLineChars="100" w:firstLine="219"/>
        <w:rPr>
          <w:rFonts w:hAnsi="ＭＳ 明朝"/>
          <w:szCs w:val="24"/>
        </w:rPr>
      </w:pPr>
      <w:r w:rsidRPr="00621D5D">
        <w:rPr>
          <w:rFonts w:hAnsi="ＭＳ 明朝" w:hint="eastAsia"/>
          <w:szCs w:val="24"/>
        </w:rPr>
        <w:t>している。</w:t>
      </w:r>
    </w:p>
    <w:p w:rsidR="00AC1638" w:rsidRPr="00335B38" w:rsidRDefault="00AC1638" w:rsidP="00AC1638">
      <w:pPr>
        <w:kinsoku w:val="0"/>
        <w:overflowPunct w:val="0"/>
        <w:snapToGrid w:val="0"/>
        <w:spacing w:line="362" w:lineRule="exact"/>
        <w:jc w:val="left"/>
        <w:rPr>
          <w:rFonts w:hAnsi="ＭＳ 明朝"/>
          <w:szCs w:val="24"/>
        </w:rPr>
      </w:pPr>
    </w:p>
    <w:p w:rsidR="00AC1638" w:rsidRDefault="00AC1638" w:rsidP="00AC1638">
      <w:pPr>
        <w:kinsoku w:val="0"/>
        <w:overflowPunct w:val="0"/>
        <w:snapToGrid w:val="0"/>
        <w:spacing w:line="362" w:lineRule="exact"/>
        <w:ind w:firstLineChars="100" w:firstLine="219"/>
        <w:jc w:val="left"/>
        <w:rPr>
          <w:rFonts w:hAnsi="ＭＳ 明朝"/>
          <w:szCs w:val="24"/>
        </w:rPr>
      </w:pPr>
      <w:r w:rsidRPr="001B2828">
        <w:rPr>
          <w:rFonts w:ascii="ＭＳ ゴシック" w:eastAsia="ＭＳ ゴシック" w:hAnsi="ＭＳ ゴシック" w:hint="eastAsia"/>
          <w:szCs w:val="24"/>
        </w:rPr>
        <w:t>用途別使用水量・料金収入比較表</w:t>
      </w:r>
      <w:r>
        <w:rPr>
          <w:rFonts w:hAnsi="ＭＳ 明朝" w:hint="eastAsia"/>
          <w:szCs w:val="24"/>
        </w:rPr>
        <w:t xml:space="preserve">　　　　　　　　　　　　　　　</w:t>
      </w:r>
      <w:r w:rsidRPr="000A38CD">
        <w:rPr>
          <w:rFonts w:hAnsi="ＭＳ 明朝" w:hint="eastAsia"/>
          <w:szCs w:val="24"/>
        </w:rPr>
        <w:t xml:space="preserve">　　</w:t>
      </w:r>
      <w:r>
        <w:rPr>
          <w:rFonts w:hAnsi="ＭＳ 明朝" w:hint="eastAsia"/>
          <w:szCs w:val="24"/>
        </w:rPr>
        <w:t xml:space="preserve"> </w:t>
      </w:r>
      <w:r w:rsidRPr="000A38CD">
        <w:rPr>
          <w:rFonts w:hAnsi="ＭＳ 明朝" w:hint="eastAsia"/>
          <w:szCs w:val="24"/>
        </w:rPr>
        <w:t>（単位：㎥・千円・％）</w:t>
      </w:r>
    </w:p>
    <w:bookmarkStart w:id="6" w:name="_MON_1436104113"/>
    <w:bookmarkEnd w:id="6"/>
    <w:p w:rsidR="00AC1638" w:rsidRDefault="00AC1638" w:rsidP="00AC1638">
      <w:pPr>
        <w:kinsoku w:val="0"/>
        <w:overflowPunct w:val="0"/>
        <w:snapToGrid w:val="0"/>
        <w:jc w:val="left"/>
        <w:rPr>
          <w:rFonts w:hAnsi="ＭＳ 明朝"/>
          <w:szCs w:val="24"/>
        </w:rPr>
      </w:pPr>
      <w:r w:rsidRPr="00534ACC">
        <w:rPr>
          <w:rFonts w:hAnsi="ＭＳ 明朝"/>
          <w:szCs w:val="24"/>
        </w:rPr>
        <w:object w:dxaOrig="11125" w:dyaOrig="5359">
          <v:shape id="_x0000_i1031" type="#_x0000_t75" style="width:481.5pt;height:247.5pt" o:ole="" o:preferrelative="f">
            <v:imagedata r:id="rId25" o:title=""/>
            <o:lock v:ext="edit" aspectratio="f"/>
          </v:shape>
          <o:OLEObject Type="Embed" ProgID="Excel.Sheet.12" ShapeID="_x0000_i1031" DrawAspect="Content" ObjectID="_1568638573" r:id="rId26"/>
        </w:object>
      </w:r>
      <w:r>
        <w:rPr>
          <w:rFonts w:hAnsi="ＭＳ 明朝" w:hint="eastAsia"/>
          <w:szCs w:val="24"/>
        </w:rPr>
        <w:t xml:space="preserve">　</w:t>
      </w:r>
    </w:p>
    <w:p w:rsidR="00AC1638" w:rsidRDefault="00AC1638" w:rsidP="00AC1638">
      <w:pPr>
        <w:kinsoku w:val="0"/>
        <w:overflowPunct w:val="0"/>
        <w:snapToGrid w:val="0"/>
        <w:jc w:val="left"/>
        <w:rPr>
          <w:rFonts w:hAnsi="ＭＳ 明朝"/>
          <w:szCs w:val="24"/>
        </w:rPr>
      </w:pPr>
    </w:p>
    <w:p w:rsidR="00AC1638" w:rsidRPr="00F63FF3" w:rsidRDefault="00AC1638" w:rsidP="00AC1638">
      <w:pPr>
        <w:kinsoku w:val="0"/>
        <w:overflowPunct w:val="0"/>
        <w:snapToGrid w:val="0"/>
        <w:ind w:leftChars="100" w:left="219" w:firstLineChars="100" w:firstLine="223"/>
        <w:jc w:val="left"/>
        <w:rPr>
          <w:rFonts w:hAnsi="ＭＳ 明朝"/>
          <w:kern w:val="0"/>
          <w:szCs w:val="24"/>
        </w:rPr>
      </w:pPr>
      <w:r w:rsidRPr="00621D5D">
        <w:rPr>
          <w:rFonts w:hAnsi="ＭＳ 明朝" w:hint="eastAsia"/>
          <w:spacing w:val="2"/>
          <w:szCs w:val="24"/>
        </w:rPr>
        <w:t>用途別では、前年度と比べ</w:t>
      </w:r>
      <w:r w:rsidRPr="00621D5D">
        <w:rPr>
          <w:rFonts w:hAnsi="ＭＳ 明朝" w:hint="eastAsia"/>
          <w:kern w:val="0"/>
          <w:szCs w:val="24"/>
        </w:rPr>
        <w:t>家庭用で17,177㎥（0.2％）、金額にして4,547千円（0.3％）</w:t>
      </w:r>
      <w:r w:rsidRPr="00621D5D">
        <w:rPr>
          <w:rFonts w:hAnsi="ＭＳ 明朝" w:hint="eastAsia"/>
          <w:spacing w:val="2"/>
          <w:szCs w:val="24"/>
        </w:rPr>
        <w:t>増加した</w:t>
      </w:r>
      <w:r w:rsidRPr="00621D5D">
        <w:rPr>
          <w:rFonts w:hAnsi="ＭＳ 明朝" w:hint="eastAsia"/>
          <w:kern w:val="0"/>
          <w:szCs w:val="24"/>
        </w:rPr>
        <w:t>ものの、官公署用で28,205㎥（△4.1％）金額にして7,084千円（△4.1％）営業用で11,348㎥（△0.5％）、金額にして2,166千円（△0.4％）及び工場用で2,405㎥（△0.4％）金額にして581千円（△0.4％）</w:t>
      </w:r>
      <w:r w:rsidRPr="00621D5D">
        <w:rPr>
          <w:rFonts w:hAnsi="ＭＳ 明朝" w:hint="eastAsia"/>
          <w:szCs w:val="24"/>
        </w:rPr>
        <w:t>とそれぞれ減少している。</w:t>
      </w:r>
    </w:p>
    <w:p w:rsidR="00AC1638" w:rsidRDefault="00AC1638" w:rsidP="00AC1638">
      <w:pPr>
        <w:kinsoku w:val="0"/>
        <w:overflowPunct w:val="0"/>
        <w:snapToGrid w:val="0"/>
        <w:jc w:val="left"/>
        <w:rPr>
          <w:rFonts w:asciiTheme="minorEastAsia" w:eastAsiaTheme="minorEastAsia" w:hAnsiTheme="minorEastAsia"/>
          <w:szCs w:val="24"/>
        </w:rPr>
      </w:pPr>
    </w:p>
    <w:p w:rsidR="00AC1638" w:rsidRPr="00151886" w:rsidRDefault="00AC1638" w:rsidP="00AC1638">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　費用の</w:t>
      </w:r>
      <w:r w:rsidRPr="00151886">
        <w:rPr>
          <w:rFonts w:ascii="ＭＳ ゴシック" w:eastAsia="ＭＳ ゴシック" w:hAnsi="ＭＳ ゴシック" w:hint="eastAsia"/>
          <w:szCs w:val="24"/>
        </w:rPr>
        <w:t>部</w:t>
      </w:r>
    </w:p>
    <w:p w:rsidR="00AC1638" w:rsidRPr="00151886" w:rsidRDefault="00AC1638" w:rsidP="00AC1638">
      <w:pPr>
        <w:ind w:firstLineChars="300" w:firstLine="657"/>
        <w:rPr>
          <w:szCs w:val="24"/>
        </w:rPr>
      </w:pPr>
      <w:r w:rsidRPr="00151886">
        <w:rPr>
          <w:rFonts w:hint="eastAsia"/>
          <w:szCs w:val="24"/>
        </w:rPr>
        <w:t>費用の内訳は、下表のとおりである。</w:t>
      </w:r>
    </w:p>
    <w:p w:rsidR="00AC1638" w:rsidRPr="00151886" w:rsidRDefault="00AC1638" w:rsidP="00AC1638">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hAnsi="ＭＳ 明朝" w:hint="eastAsia"/>
          <w:szCs w:val="24"/>
        </w:rPr>
        <w:t>（単位：千円・％）</w:t>
      </w:r>
    </w:p>
    <w:bookmarkStart w:id="7" w:name="_MON_1436171948"/>
    <w:bookmarkEnd w:id="7"/>
    <w:p w:rsidR="00AC1638" w:rsidRDefault="00AC1638" w:rsidP="00AC1638">
      <w:pPr>
        <w:kinsoku w:val="0"/>
        <w:overflowPunct w:val="0"/>
        <w:snapToGrid w:val="0"/>
        <w:jc w:val="left"/>
        <w:rPr>
          <w:rFonts w:hAnsi="ＭＳ 明朝"/>
          <w:szCs w:val="24"/>
        </w:rPr>
      </w:pPr>
      <w:r w:rsidRPr="00534ACC">
        <w:rPr>
          <w:rFonts w:hAnsi="ＭＳ 明朝"/>
          <w:szCs w:val="24"/>
        </w:rPr>
        <w:object w:dxaOrig="10133" w:dyaOrig="6553">
          <v:shape id="_x0000_i1032" type="#_x0000_t75" style="width:483.75pt;height:333pt" o:ole="">
            <v:imagedata r:id="rId27" o:title=""/>
          </v:shape>
          <o:OLEObject Type="Embed" ProgID="Excel.Sheet.12" ShapeID="_x0000_i1032" DrawAspect="Content" ObjectID="_1568638574" r:id="rId28"/>
        </w:object>
      </w:r>
    </w:p>
    <w:p w:rsidR="00AC1638" w:rsidRDefault="00AC1638" w:rsidP="00AC1638">
      <w:pPr>
        <w:kinsoku w:val="0"/>
        <w:overflowPunct w:val="0"/>
        <w:snapToGrid w:val="0"/>
        <w:jc w:val="left"/>
        <w:rPr>
          <w:rFonts w:hAnsi="ＭＳ 明朝"/>
          <w:szCs w:val="24"/>
        </w:rPr>
      </w:pPr>
    </w:p>
    <w:p w:rsidR="00AC1638" w:rsidRDefault="00AC1638" w:rsidP="00AC1638">
      <w:pPr>
        <w:kinsoku w:val="0"/>
        <w:overflowPunct w:val="0"/>
        <w:snapToGrid w:val="0"/>
        <w:spacing w:line="362" w:lineRule="exact"/>
        <w:ind w:firstLineChars="100" w:firstLine="219"/>
        <w:jc w:val="left"/>
        <w:rPr>
          <w:rFonts w:hAnsi="ＭＳ 明朝"/>
          <w:szCs w:val="24"/>
        </w:rPr>
      </w:pPr>
      <w:r w:rsidRPr="00151886">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hAnsi="ＭＳ 明朝" w:hint="eastAsia"/>
          <w:szCs w:val="24"/>
        </w:rPr>
        <w:t>（単位：千円・％）</w:t>
      </w:r>
    </w:p>
    <w:bookmarkStart w:id="8" w:name="_MON_1436177322"/>
    <w:bookmarkEnd w:id="8"/>
    <w:p w:rsidR="00AC1638" w:rsidRDefault="00AC1638" w:rsidP="00AC1638">
      <w:pPr>
        <w:kinsoku w:val="0"/>
        <w:overflowPunct w:val="0"/>
        <w:snapToGrid w:val="0"/>
        <w:jc w:val="left"/>
        <w:rPr>
          <w:rFonts w:hAnsi="ＭＳ 明朝"/>
          <w:sz w:val="18"/>
          <w:szCs w:val="18"/>
        </w:rPr>
      </w:pPr>
      <w:r w:rsidRPr="00534ACC">
        <w:rPr>
          <w:rFonts w:hAnsi="ＭＳ 明朝"/>
          <w:sz w:val="22"/>
        </w:rPr>
        <w:object w:dxaOrig="8848" w:dyaOrig="5352">
          <v:shape id="_x0000_i1033" type="#_x0000_t75" style="width:483.75pt;height:271.5pt" o:ole="">
            <v:imagedata r:id="rId29" o:title=""/>
          </v:shape>
          <o:OLEObject Type="Embed" ProgID="Excel.Sheet.12" ShapeID="_x0000_i1033" DrawAspect="Content" ObjectID="_1568638575" r:id="rId30"/>
        </w:object>
      </w:r>
      <w:r w:rsidRPr="00A75B3D">
        <w:rPr>
          <w:rFonts w:hAnsi="ＭＳ 明朝" w:hint="eastAsia"/>
          <w:sz w:val="18"/>
          <w:szCs w:val="18"/>
        </w:rPr>
        <w:t>（注）区分は日本水道協会「水道統計」に準拠した。</w:t>
      </w:r>
    </w:p>
    <w:p w:rsidR="00AC1638" w:rsidRPr="002E6765" w:rsidRDefault="00AC1638" w:rsidP="00AC1638">
      <w:pPr>
        <w:kinsoku w:val="0"/>
        <w:overflowPunct w:val="0"/>
        <w:snapToGrid w:val="0"/>
        <w:jc w:val="left"/>
        <w:rPr>
          <w:rFonts w:hAnsi="ＭＳ 明朝"/>
          <w:sz w:val="22"/>
        </w:rPr>
      </w:pPr>
    </w:p>
    <w:p w:rsidR="00AC1638" w:rsidRPr="00B442E9" w:rsidRDefault="00AC1638" w:rsidP="00AC1638">
      <w:pPr>
        <w:spacing w:line="360" w:lineRule="exact"/>
        <w:ind w:firstLineChars="200" w:firstLine="438"/>
        <w:jc w:val="left"/>
        <w:rPr>
          <w:rFonts w:hAnsi="ＭＳ 明朝"/>
          <w:spacing w:val="12"/>
          <w:szCs w:val="24"/>
        </w:rPr>
      </w:pPr>
      <w:r>
        <w:rPr>
          <w:rFonts w:hAnsi="ＭＳ 明朝" w:hint="eastAsia"/>
          <w:szCs w:val="24"/>
        </w:rPr>
        <w:lastRenderedPageBreak/>
        <w:t xml:space="preserve">ア　</w:t>
      </w:r>
      <w:r w:rsidRPr="00B442E9">
        <w:rPr>
          <w:rFonts w:hAnsi="ＭＳ 明朝" w:hint="eastAsia"/>
          <w:spacing w:val="12"/>
          <w:szCs w:val="24"/>
        </w:rPr>
        <w:t>営業費用</w:t>
      </w:r>
    </w:p>
    <w:p w:rsidR="00AC1638" w:rsidRPr="00B442E9" w:rsidRDefault="00AC1638" w:rsidP="00AC1638">
      <w:pPr>
        <w:spacing w:line="360" w:lineRule="exact"/>
        <w:ind w:firstLineChars="350" w:firstLine="851"/>
        <w:jc w:val="left"/>
        <w:rPr>
          <w:rFonts w:hAnsi="ＭＳ 明朝"/>
          <w:spacing w:val="12"/>
          <w:szCs w:val="24"/>
        </w:rPr>
      </w:pPr>
      <w:r w:rsidRPr="00B442E9">
        <w:rPr>
          <w:rFonts w:hAnsi="ＭＳ 明朝" w:hint="eastAsia"/>
          <w:spacing w:val="12"/>
          <w:kern w:val="0"/>
          <w:szCs w:val="24"/>
        </w:rPr>
        <w:t>営業費用は</w:t>
      </w:r>
      <w:r w:rsidRPr="0066107A">
        <w:rPr>
          <w:rFonts w:hAnsi="ＭＳ 明朝" w:hint="eastAsia"/>
          <w:spacing w:val="12"/>
          <w:kern w:val="0"/>
          <w:szCs w:val="24"/>
        </w:rPr>
        <w:t>2,363,276千円で、前年度に比べ135,789千円(△5.4％)減少</w:t>
      </w:r>
      <w:r w:rsidRPr="00B442E9">
        <w:rPr>
          <w:rFonts w:hAnsi="ＭＳ 明朝" w:hint="eastAsia"/>
          <w:spacing w:val="12"/>
          <w:kern w:val="0"/>
          <w:szCs w:val="24"/>
        </w:rPr>
        <w:t>している。</w:t>
      </w:r>
    </w:p>
    <w:p w:rsidR="00AC1638" w:rsidRPr="001B40C3" w:rsidRDefault="00AC1638" w:rsidP="00AC1638">
      <w:pPr>
        <w:spacing w:line="360" w:lineRule="exact"/>
        <w:ind w:leftChars="300" w:left="657" w:firstLineChars="100" w:firstLine="219"/>
        <w:rPr>
          <w:rFonts w:hAnsi="ＭＳ 明朝"/>
          <w:kern w:val="0"/>
          <w:szCs w:val="24"/>
        </w:rPr>
      </w:pPr>
      <w:r>
        <w:rPr>
          <w:rFonts w:hAnsi="ＭＳ 明朝" w:hint="eastAsia"/>
          <w:kern w:val="0"/>
          <w:szCs w:val="24"/>
        </w:rPr>
        <w:t>これは主に、原水及び浄水費、配水及び給水費、</w:t>
      </w:r>
      <w:r w:rsidRPr="00621D5D">
        <w:rPr>
          <w:rFonts w:hAnsi="ＭＳ 明朝" w:hint="eastAsia"/>
          <w:kern w:val="0"/>
          <w:szCs w:val="24"/>
        </w:rPr>
        <w:t>総係費が</w:t>
      </w:r>
      <w:r>
        <w:rPr>
          <w:rFonts w:hAnsi="ＭＳ 明朝" w:hint="eastAsia"/>
          <w:kern w:val="0"/>
          <w:szCs w:val="24"/>
        </w:rPr>
        <w:t>それぞれ</w:t>
      </w:r>
      <w:r w:rsidRPr="00621D5D">
        <w:rPr>
          <w:rFonts w:hAnsi="ＭＳ 明朝" w:hint="eastAsia"/>
          <w:kern w:val="0"/>
          <w:szCs w:val="24"/>
        </w:rPr>
        <w:t>減少していることによるものである。</w:t>
      </w:r>
    </w:p>
    <w:p w:rsidR="00AC1638" w:rsidRPr="00621D5D" w:rsidRDefault="00AC1638" w:rsidP="00AC1638">
      <w:pPr>
        <w:spacing w:line="360" w:lineRule="exact"/>
        <w:ind w:leftChars="300" w:left="657" w:firstLineChars="100" w:firstLine="219"/>
        <w:rPr>
          <w:rFonts w:hAnsi="ＭＳ 明朝"/>
          <w:kern w:val="0"/>
          <w:szCs w:val="24"/>
        </w:rPr>
      </w:pPr>
      <w:r w:rsidRPr="00621D5D">
        <w:rPr>
          <w:rFonts w:hAnsi="ＭＳ 明朝" w:hint="eastAsia"/>
          <w:kern w:val="0"/>
          <w:szCs w:val="24"/>
        </w:rPr>
        <w:t>なお、受水費は683,002千円で、前年度に比べ32,624千円（△4.6％）減少している。</w:t>
      </w:r>
    </w:p>
    <w:p w:rsidR="00AC1638" w:rsidRPr="003E54A9" w:rsidRDefault="00AC1638" w:rsidP="00AC1638">
      <w:pPr>
        <w:spacing w:line="360" w:lineRule="exact"/>
        <w:ind w:leftChars="300" w:left="657" w:firstLineChars="100" w:firstLine="219"/>
        <w:rPr>
          <w:rFonts w:hAnsi="ＭＳ 明朝"/>
          <w:kern w:val="0"/>
          <w:szCs w:val="24"/>
        </w:rPr>
      </w:pPr>
      <w:r w:rsidRPr="00621D5D">
        <w:rPr>
          <w:rFonts w:hAnsi="ＭＳ 明朝" w:hint="eastAsia"/>
          <w:kern w:val="0"/>
          <w:szCs w:val="24"/>
        </w:rPr>
        <w:t>これは</w:t>
      </w:r>
      <w:r>
        <w:rPr>
          <w:rFonts w:hAnsi="ＭＳ 明朝" w:hint="eastAsia"/>
          <w:kern w:val="0"/>
          <w:szCs w:val="24"/>
        </w:rPr>
        <w:t>主に</w:t>
      </w:r>
      <w:r w:rsidRPr="00621D5D">
        <w:rPr>
          <w:rFonts w:hAnsi="ＭＳ 明朝" w:hint="eastAsia"/>
          <w:kern w:val="0"/>
          <w:szCs w:val="24"/>
        </w:rPr>
        <w:t>、和田川受水費の減少によるものである。</w:t>
      </w:r>
    </w:p>
    <w:p w:rsidR="00AC1638" w:rsidRPr="002E1C6E" w:rsidRDefault="00AC1638" w:rsidP="00AC1638">
      <w:pPr>
        <w:spacing w:line="360" w:lineRule="exact"/>
        <w:ind w:left="219" w:hangingChars="100" w:hanging="219"/>
        <w:jc w:val="left"/>
        <w:rPr>
          <w:rFonts w:hAnsi="ＭＳ 明朝"/>
          <w:szCs w:val="24"/>
        </w:rPr>
      </w:pPr>
    </w:p>
    <w:p w:rsidR="00AC1638" w:rsidRPr="00B442E9" w:rsidRDefault="00AC1638" w:rsidP="00AC1638">
      <w:pPr>
        <w:spacing w:line="360" w:lineRule="exact"/>
        <w:ind w:firstLineChars="200" w:firstLine="438"/>
        <w:jc w:val="left"/>
        <w:rPr>
          <w:rFonts w:asciiTheme="minorEastAsia" w:eastAsiaTheme="minorEastAsia" w:hAnsiTheme="minorEastAsia"/>
          <w:kern w:val="0"/>
          <w:szCs w:val="24"/>
        </w:rPr>
      </w:pPr>
      <w:r w:rsidRPr="00B442E9">
        <w:rPr>
          <w:rFonts w:asciiTheme="minorEastAsia" w:eastAsiaTheme="minorEastAsia" w:hAnsiTheme="minorEastAsia" w:hint="eastAsia"/>
          <w:szCs w:val="24"/>
        </w:rPr>
        <w:t xml:space="preserve">イ　</w:t>
      </w:r>
      <w:r w:rsidRPr="00B442E9">
        <w:rPr>
          <w:rFonts w:asciiTheme="minorEastAsia" w:eastAsiaTheme="minorEastAsia" w:hAnsiTheme="minorEastAsia" w:hint="eastAsia"/>
          <w:kern w:val="0"/>
          <w:szCs w:val="24"/>
        </w:rPr>
        <w:t>営業外費用</w:t>
      </w:r>
    </w:p>
    <w:p w:rsidR="00AC1638" w:rsidRPr="00DA791C" w:rsidRDefault="00AC1638" w:rsidP="00AC1638">
      <w:pPr>
        <w:spacing w:line="360" w:lineRule="exact"/>
        <w:ind w:leftChars="323" w:left="708" w:firstLineChars="65" w:firstLine="142"/>
        <w:rPr>
          <w:rFonts w:asciiTheme="minorEastAsia" w:eastAsiaTheme="minorEastAsia" w:hAnsiTheme="minorEastAsia"/>
          <w:kern w:val="0"/>
          <w:szCs w:val="24"/>
        </w:rPr>
      </w:pPr>
      <w:r w:rsidRPr="00B442E9">
        <w:rPr>
          <w:rFonts w:asciiTheme="minorEastAsia" w:eastAsiaTheme="minorEastAsia" w:hAnsiTheme="minorEastAsia" w:hint="eastAsia"/>
          <w:kern w:val="0"/>
          <w:szCs w:val="24"/>
        </w:rPr>
        <w:t>営業外費用は</w:t>
      </w:r>
      <w:r w:rsidRPr="00DA791C">
        <w:rPr>
          <w:rFonts w:asciiTheme="minorEastAsia" w:eastAsiaTheme="minorEastAsia" w:hAnsiTheme="minorEastAsia" w:hint="eastAsia"/>
          <w:kern w:val="0"/>
          <w:szCs w:val="24"/>
        </w:rPr>
        <w:t>157,268千円で、前年度に比べ11,473千円(△6.8％)減少している。</w:t>
      </w:r>
    </w:p>
    <w:p w:rsidR="00AC1638" w:rsidRPr="00B442E9" w:rsidRDefault="00AC1638" w:rsidP="00AC1638">
      <w:pPr>
        <w:spacing w:line="360" w:lineRule="exact"/>
        <w:ind w:leftChars="295" w:left="646" w:firstLineChars="93" w:firstLine="204"/>
        <w:jc w:val="left"/>
        <w:rPr>
          <w:rFonts w:asciiTheme="minorEastAsia" w:eastAsiaTheme="minorEastAsia" w:hAnsiTheme="minorEastAsia"/>
          <w:kern w:val="0"/>
          <w:szCs w:val="24"/>
        </w:rPr>
      </w:pPr>
      <w:r w:rsidRPr="00DA791C">
        <w:rPr>
          <w:rFonts w:asciiTheme="minorEastAsia" w:eastAsiaTheme="minorEastAsia" w:hAnsiTheme="minorEastAsia" w:hint="eastAsia"/>
          <w:kern w:val="0"/>
          <w:szCs w:val="24"/>
        </w:rPr>
        <w:t>これは主に、支払利息が減少したことによるものである。</w:t>
      </w:r>
    </w:p>
    <w:p w:rsidR="00AC1638" w:rsidRPr="00151886" w:rsidRDefault="00AC1638" w:rsidP="00AC1638">
      <w:pPr>
        <w:spacing w:line="360" w:lineRule="exact"/>
        <w:ind w:left="2"/>
        <w:jc w:val="left"/>
        <w:rPr>
          <w:rFonts w:hAnsi="ＭＳ 明朝"/>
          <w:kern w:val="0"/>
          <w:szCs w:val="24"/>
        </w:rPr>
      </w:pPr>
    </w:p>
    <w:p w:rsidR="00AC1638" w:rsidRPr="00151886" w:rsidRDefault="00AC1638" w:rsidP="00AC1638">
      <w:pPr>
        <w:spacing w:line="360" w:lineRule="exact"/>
        <w:ind w:firstLineChars="200" w:firstLine="438"/>
        <w:jc w:val="left"/>
        <w:rPr>
          <w:rFonts w:hAnsi="ＭＳ 明朝"/>
          <w:szCs w:val="24"/>
        </w:rPr>
      </w:pPr>
      <w:r>
        <w:rPr>
          <w:rFonts w:hAnsi="ＭＳ 明朝" w:hint="eastAsia"/>
          <w:szCs w:val="24"/>
        </w:rPr>
        <w:t>ウ　特別損</w:t>
      </w:r>
      <w:r w:rsidRPr="00151886">
        <w:rPr>
          <w:rFonts w:hAnsi="ＭＳ 明朝" w:hint="eastAsia"/>
          <w:szCs w:val="24"/>
        </w:rPr>
        <w:t>失</w:t>
      </w:r>
    </w:p>
    <w:p w:rsidR="00AC1638" w:rsidRPr="00DA791C" w:rsidRDefault="00AC1638" w:rsidP="00AC1638">
      <w:pPr>
        <w:spacing w:line="360" w:lineRule="exact"/>
        <w:ind w:leftChars="323" w:left="708" w:firstLineChars="65" w:firstLine="171"/>
        <w:jc w:val="left"/>
        <w:rPr>
          <w:rFonts w:hAnsi="ＭＳ 明朝"/>
          <w:spacing w:val="22"/>
          <w:kern w:val="0"/>
          <w:szCs w:val="24"/>
        </w:rPr>
      </w:pPr>
      <w:r w:rsidRPr="006307D2">
        <w:rPr>
          <w:rFonts w:hAnsi="ＭＳ 明朝" w:hint="eastAsia"/>
          <w:spacing w:val="22"/>
          <w:kern w:val="0"/>
          <w:szCs w:val="24"/>
        </w:rPr>
        <w:t>特別損失は</w:t>
      </w:r>
      <w:r w:rsidRPr="00DA791C">
        <w:rPr>
          <w:rFonts w:hAnsi="ＭＳ 明朝" w:hint="eastAsia"/>
          <w:spacing w:val="22"/>
          <w:kern w:val="0"/>
          <w:szCs w:val="24"/>
        </w:rPr>
        <w:t>243千円で、前年度に比べ698千円</w:t>
      </w:r>
      <w:r w:rsidRPr="00DA791C">
        <w:rPr>
          <w:rFonts w:asciiTheme="minorEastAsia" w:eastAsiaTheme="minorEastAsia" w:hAnsiTheme="minorEastAsia" w:hint="eastAsia"/>
          <w:kern w:val="0"/>
          <w:szCs w:val="24"/>
        </w:rPr>
        <w:t>(△74.2％)減少している。</w:t>
      </w:r>
    </w:p>
    <w:p w:rsidR="00AC1638" w:rsidRPr="003A1BDA" w:rsidRDefault="00AC1638" w:rsidP="00AC1638">
      <w:pPr>
        <w:tabs>
          <w:tab w:val="left" w:pos="709"/>
        </w:tabs>
        <w:spacing w:line="360" w:lineRule="exact"/>
        <w:ind w:leftChars="300" w:left="657" w:firstLineChars="88" w:firstLine="235"/>
        <w:jc w:val="left"/>
        <w:rPr>
          <w:rFonts w:hAnsi="ＭＳ 明朝"/>
          <w:spacing w:val="24"/>
          <w:kern w:val="0"/>
          <w:szCs w:val="24"/>
        </w:rPr>
      </w:pPr>
      <w:r w:rsidRPr="00DA791C">
        <w:rPr>
          <w:rFonts w:hAnsi="ＭＳ 明朝" w:hint="eastAsia"/>
          <w:spacing w:val="24"/>
          <w:szCs w:val="24"/>
        </w:rPr>
        <w:t>これは</w:t>
      </w:r>
      <w:r w:rsidRPr="00DA791C">
        <w:rPr>
          <w:rFonts w:hAnsi="ＭＳ 明朝" w:hint="eastAsia"/>
          <w:spacing w:val="24"/>
          <w:kern w:val="0"/>
          <w:szCs w:val="24"/>
        </w:rPr>
        <w:t>主に、固定資産売却損の減少によるものである。</w:t>
      </w:r>
    </w:p>
    <w:p w:rsidR="00AC1638" w:rsidRPr="00151886" w:rsidRDefault="00AC1638" w:rsidP="00AC1638">
      <w:pPr>
        <w:kinsoku w:val="0"/>
        <w:overflowPunct w:val="0"/>
        <w:snapToGrid w:val="0"/>
        <w:spacing w:line="360" w:lineRule="exact"/>
        <w:jc w:val="left"/>
        <w:rPr>
          <w:rFonts w:hAnsi="ＭＳ 明朝"/>
          <w:szCs w:val="24"/>
        </w:rPr>
      </w:pPr>
    </w:p>
    <w:p w:rsidR="00AC1638" w:rsidRPr="004F5323" w:rsidRDefault="00AC1638" w:rsidP="00AC1638">
      <w:pPr>
        <w:kinsoku w:val="0"/>
        <w:overflowPunct w:val="0"/>
        <w:snapToGrid w:val="0"/>
        <w:spacing w:line="362" w:lineRule="exact"/>
        <w:jc w:val="left"/>
        <w:rPr>
          <w:rFonts w:hAnsi="ＭＳ 明朝"/>
          <w:color w:val="FF0000"/>
          <w:szCs w:val="24"/>
        </w:rPr>
      </w:pPr>
    </w:p>
    <w:p w:rsidR="00AC1638" w:rsidRPr="002D5DC6" w:rsidRDefault="00AC1638" w:rsidP="00AC1638">
      <w:pPr>
        <w:kinsoku w:val="0"/>
        <w:overflowPunct w:val="0"/>
        <w:snapToGrid w:val="0"/>
        <w:spacing w:line="362" w:lineRule="exact"/>
        <w:ind w:firstLineChars="100" w:firstLine="219"/>
        <w:jc w:val="left"/>
        <w:rPr>
          <w:rFonts w:ascii="ＭＳ ゴシック" w:eastAsia="ＭＳ ゴシック" w:hAnsi="ＭＳ ゴシック"/>
          <w:szCs w:val="24"/>
        </w:rPr>
      </w:pPr>
      <w:r w:rsidRPr="002D5DC6">
        <w:rPr>
          <w:rFonts w:ascii="ＭＳ ゴシック" w:eastAsia="ＭＳ ゴシック" w:hAnsi="ＭＳ ゴシック" w:hint="eastAsia"/>
          <w:szCs w:val="24"/>
        </w:rPr>
        <w:t xml:space="preserve">取水量の推移　　　　　　　　　　　　　　　　　　　　　　　　　　　　　　</w:t>
      </w:r>
      <w:r w:rsidRPr="002D5DC6">
        <w:rPr>
          <w:rFonts w:asciiTheme="minorEastAsia" w:eastAsiaTheme="minorEastAsia" w:hAnsiTheme="minorEastAsia" w:hint="eastAsia"/>
          <w:szCs w:val="24"/>
        </w:rPr>
        <w:t>(単位：㎥・％</w:t>
      </w:r>
      <w:r w:rsidRPr="002D5DC6">
        <w:rPr>
          <w:rFonts w:asciiTheme="minorEastAsia" w:eastAsiaTheme="minorEastAsia" w:hAnsiTheme="minorEastAsia"/>
          <w:szCs w:val="24"/>
        </w:rPr>
        <w:t>）</w:t>
      </w:r>
    </w:p>
    <w:bookmarkStart w:id="9" w:name="_MON_1436178794"/>
    <w:bookmarkEnd w:id="9"/>
    <w:p w:rsidR="00AC1638" w:rsidRPr="006B3D68" w:rsidRDefault="00AC1638" w:rsidP="00AC1638">
      <w:pPr>
        <w:kinsoku w:val="0"/>
        <w:overflowPunct w:val="0"/>
        <w:snapToGrid w:val="0"/>
        <w:jc w:val="left"/>
        <w:rPr>
          <w:rFonts w:hAnsi="ＭＳ 明朝"/>
          <w:sz w:val="22"/>
        </w:rPr>
      </w:pPr>
      <w:r w:rsidRPr="002D5DC6">
        <w:rPr>
          <w:rFonts w:hAnsi="ＭＳ 明朝"/>
          <w:sz w:val="22"/>
        </w:rPr>
        <w:object w:dxaOrig="8906" w:dyaOrig="2604">
          <v:shape id="_x0000_i1034" type="#_x0000_t75" style="width:484.5pt;height:139.5pt" o:ole="">
            <v:imagedata r:id="rId31" o:title=""/>
          </v:shape>
          <o:OLEObject Type="Embed" ProgID="Excel.Sheet.12" ShapeID="_x0000_i1034" DrawAspect="Content" ObjectID="_1568638576" r:id="rId32"/>
        </w:object>
      </w:r>
    </w:p>
    <w:p w:rsidR="00AC1638" w:rsidRPr="00DA791C" w:rsidRDefault="00AC1638" w:rsidP="00AC1638">
      <w:pPr>
        <w:spacing w:line="360" w:lineRule="exact"/>
        <w:ind w:firstLineChars="200" w:firstLine="502"/>
        <w:jc w:val="left"/>
        <w:rPr>
          <w:rFonts w:hAnsi="ＭＳ 明朝"/>
          <w:spacing w:val="16"/>
          <w:szCs w:val="24"/>
        </w:rPr>
      </w:pPr>
      <w:r w:rsidRPr="002D5DC6">
        <w:rPr>
          <w:rFonts w:hAnsi="ＭＳ 明朝" w:hint="eastAsia"/>
          <w:spacing w:val="16"/>
          <w:szCs w:val="24"/>
        </w:rPr>
        <w:t>取水量は</w:t>
      </w:r>
      <w:r w:rsidRPr="00DA791C">
        <w:rPr>
          <w:rFonts w:hAnsi="ＭＳ 明朝" w:hint="eastAsia"/>
          <w:spacing w:val="16"/>
          <w:szCs w:val="24"/>
        </w:rPr>
        <w:t>15,677,550㎥で、前年度に比べ130,050㎥（</w:t>
      </w:r>
      <w:r w:rsidRPr="00164C0F">
        <w:rPr>
          <w:rFonts w:hAnsi="ＭＳ 明朝" w:hint="eastAsia"/>
          <w:spacing w:val="16"/>
          <w:szCs w:val="24"/>
        </w:rPr>
        <w:t>△0.8</w:t>
      </w:r>
      <w:r w:rsidRPr="00DA791C">
        <w:rPr>
          <w:rFonts w:hAnsi="ＭＳ 明朝" w:hint="eastAsia"/>
          <w:spacing w:val="16"/>
          <w:szCs w:val="24"/>
        </w:rPr>
        <w:t>％）減少している。</w:t>
      </w:r>
    </w:p>
    <w:p w:rsidR="00AC1638" w:rsidRPr="00DA791C" w:rsidRDefault="00AC1638" w:rsidP="00AC1638">
      <w:pPr>
        <w:spacing w:line="360" w:lineRule="exact"/>
        <w:ind w:leftChars="100" w:left="219" w:firstLineChars="100" w:firstLine="251"/>
        <w:jc w:val="left"/>
        <w:rPr>
          <w:rFonts w:hAnsi="ＭＳ 明朝"/>
          <w:spacing w:val="16"/>
          <w:szCs w:val="24"/>
        </w:rPr>
      </w:pPr>
      <w:r w:rsidRPr="00DA791C">
        <w:rPr>
          <w:rFonts w:hAnsi="ＭＳ 明朝" w:hint="eastAsia"/>
          <w:spacing w:val="16"/>
          <w:szCs w:val="24"/>
        </w:rPr>
        <w:t>このうち、和田川及び子撫川水源からの浄水受水量は15,488,230㎥で、前年度に比べ4,340㎥(△0.0％)減少している。</w:t>
      </w:r>
    </w:p>
    <w:p w:rsidR="00AC1638" w:rsidRPr="00DA791C" w:rsidRDefault="00AC1638" w:rsidP="00AC1638">
      <w:pPr>
        <w:spacing w:line="360" w:lineRule="exact"/>
        <w:ind w:leftChars="100" w:left="219" w:firstLineChars="100" w:firstLine="219"/>
        <w:jc w:val="distribute"/>
        <w:rPr>
          <w:rFonts w:hAnsi="ＭＳ 明朝"/>
          <w:spacing w:val="16"/>
          <w:szCs w:val="24"/>
        </w:rPr>
      </w:pPr>
      <w:r w:rsidRPr="00DA791C">
        <w:rPr>
          <w:rFonts w:hAnsi="ＭＳ 明朝" w:hint="eastAsia"/>
          <w:szCs w:val="24"/>
        </w:rPr>
        <w:t>一方、</w:t>
      </w:r>
      <w:r w:rsidRPr="00DA791C">
        <w:rPr>
          <w:rFonts w:hAnsi="ＭＳ 明朝" w:hint="eastAsia"/>
          <w:kern w:val="0"/>
          <w:szCs w:val="24"/>
        </w:rPr>
        <w:t>佐野地内の自己水源である地下水の取水量は189,320㎥で、前年度に</w:t>
      </w:r>
      <w:r w:rsidRPr="00DA791C">
        <w:rPr>
          <w:rFonts w:hAnsi="ＭＳ 明朝" w:hint="eastAsia"/>
          <w:szCs w:val="24"/>
        </w:rPr>
        <w:t xml:space="preserve">比べ125,710㎥　　</w:t>
      </w:r>
    </w:p>
    <w:p w:rsidR="00AC1638" w:rsidRPr="002D5DC6" w:rsidRDefault="00AC1638" w:rsidP="00AC1638">
      <w:pPr>
        <w:spacing w:line="360" w:lineRule="exact"/>
        <w:ind w:firstLineChars="100" w:firstLine="219"/>
        <w:jc w:val="left"/>
        <w:rPr>
          <w:rFonts w:hAnsi="ＭＳ 明朝"/>
          <w:szCs w:val="24"/>
        </w:rPr>
      </w:pPr>
      <w:r w:rsidRPr="00DA791C">
        <w:rPr>
          <w:rFonts w:hAnsi="ＭＳ 明朝" w:hint="eastAsia"/>
          <w:szCs w:val="24"/>
        </w:rPr>
        <w:t>(△39.9％)減少している。</w:t>
      </w:r>
    </w:p>
    <w:p w:rsidR="00AC1638" w:rsidRPr="00FB2488" w:rsidRDefault="00AC1638" w:rsidP="00AC1638">
      <w:pPr>
        <w:kinsoku w:val="0"/>
        <w:overflowPunct w:val="0"/>
        <w:snapToGrid w:val="0"/>
        <w:spacing w:line="360" w:lineRule="exact"/>
        <w:jc w:val="left"/>
        <w:rPr>
          <w:rFonts w:hAnsi="ＭＳ 明朝"/>
          <w:szCs w:val="24"/>
        </w:rPr>
      </w:pPr>
    </w:p>
    <w:p w:rsidR="00AC1638" w:rsidRPr="00FB2488"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Default="00AC1638" w:rsidP="00AC1638">
      <w:pPr>
        <w:kinsoku w:val="0"/>
        <w:overflowPunct w:val="0"/>
        <w:snapToGrid w:val="0"/>
        <w:spacing w:line="362" w:lineRule="exact"/>
        <w:jc w:val="left"/>
        <w:rPr>
          <w:rFonts w:hAnsi="ＭＳ 明朝"/>
          <w:szCs w:val="24"/>
        </w:rPr>
      </w:pPr>
    </w:p>
    <w:p w:rsidR="00AC1638" w:rsidRDefault="00AC1638" w:rsidP="00AC1638">
      <w:pPr>
        <w:spacing w:line="360" w:lineRule="exact"/>
        <w:rPr>
          <w:rFonts w:hAnsi="ＭＳ 明朝"/>
          <w:szCs w:val="24"/>
        </w:rPr>
      </w:pPr>
    </w:p>
    <w:p w:rsidR="00AC1638" w:rsidRDefault="00AC1638" w:rsidP="00AC1638">
      <w:pPr>
        <w:spacing w:line="360" w:lineRule="exact"/>
        <w:rPr>
          <w:rFonts w:hAnsi="ＭＳ 明朝"/>
          <w:szCs w:val="24"/>
        </w:rPr>
      </w:pPr>
    </w:p>
    <w:p w:rsidR="00AC1638" w:rsidRDefault="00AC1638" w:rsidP="00AC1638">
      <w:pPr>
        <w:spacing w:line="360" w:lineRule="exact"/>
        <w:rPr>
          <w:rFonts w:hAnsi="ＭＳ 明朝"/>
          <w:szCs w:val="24"/>
        </w:rPr>
      </w:pPr>
    </w:p>
    <w:p w:rsidR="00AC1638" w:rsidRDefault="00AC1638" w:rsidP="00AC1638">
      <w:pPr>
        <w:spacing w:line="360" w:lineRule="exact"/>
        <w:rPr>
          <w:rFonts w:hAnsi="ＭＳ 明朝"/>
          <w:szCs w:val="24"/>
        </w:rPr>
      </w:pPr>
    </w:p>
    <w:p w:rsidR="00AC1638" w:rsidRDefault="00AC1638" w:rsidP="00AC1638">
      <w:pPr>
        <w:spacing w:line="360" w:lineRule="exact"/>
        <w:rPr>
          <w:rFonts w:hAnsi="ＭＳ 明朝"/>
          <w:szCs w:val="24"/>
        </w:rPr>
      </w:pPr>
    </w:p>
    <w:p w:rsidR="00AC1638" w:rsidRDefault="00AC1638" w:rsidP="00AC1638">
      <w:pPr>
        <w:spacing w:line="360" w:lineRule="exact"/>
        <w:rPr>
          <w:rFonts w:ascii="ＭＳ ゴシック" w:eastAsia="ＭＳ ゴシック" w:hAnsi="ＭＳ ゴシック"/>
          <w:szCs w:val="24"/>
        </w:rPr>
      </w:pPr>
    </w:p>
    <w:p w:rsidR="00AC1638" w:rsidRPr="00151886" w:rsidRDefault="00AC1638" w:rsidP="00AC1638">
      <w:pPr>
        <w:spacing w:line="360" w:lineRule="exact"/>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⑶</w:t>
      </w:r>
      <w:r w:rsidRPr="00151886">
        <w:rPr>
          <w:rFonts w:ascii="ＭＳ ゴシック" w:eastAsia="ＭＳ ゴシック" w:hAnsi="ＭＳ ゴシック" w:hint="eastAsia"/>
          <w:szCs w:val="24"/>
        </w:rPr>
        <w:t xml:space="preserve">　供給単価と給水原価</w:t>
      </w:r>
    </w:p>
    <w:p w:rsidR="00AC1638" w:rsidRPr="00151886" w:rsidRDefault="00AC1638" w:rsidP="00AC1638">
      <w:pPr>
        <w:spacing w:line="360" w:lineRule="exact"/>
        <w:ind w:firstLineChars="300" w:firstLine="657"/>
        <w:rPr>
          <w:szCs w:val="24"/>
        </w:rPr>
      </w:pPr>
      <w:r w:rsidRPr="00151886">
        <w:rPr>
          <w:rFonts w:hint="eastAsia"/>
          <w:szCs w:val="24"/>
        </w:rPr>
        <w:t>供給単価と給水原価の比較は、下表のとおりである。</w:t>
      </w:r>
    </w:p>
    <w:p w:rsidR="00AC1638" w:rsidRDefault="00AC1638" w:rsidP="00AC1638">
      <w:pPr>
        <w:ind w:firstLineChars="100" w:firstLine="219"/>
        <w:rPr>
          <w:rFonts w:hAnsi="ＭＳ 明朝"/>
          <w:szCs w:val="24"/>
        </w:rPr>
      </w:pPr>
      <w:r w:rsidRPr="005F6DA9">
        <w:rPr>
          <w:rFonts w:ascii="ＭＳ ゴシック" w:eastAsia="ＭＳ ゴシック" w:hAnsi="ＭＳ ゴシック" w:hint="eastAsia"/>
          <w:szCs w:val="24"/>
        </w:rPr>
        <w:t xml:space="preserve">供給単価・給水原価比較表　</w:t>
      </w:r>
      <w:r w:rsidRPr="00151886">
        <w:rPr>
          <w:rFonts w:hint="eastAsia"/>
          <w:szCs w:val="24"/>
        </w:rPr>
        <w:t xml:space="preserve">　　　　　　　　　　　　　　</w:t>
      </w:r>
      <w:r>
        <w:rPr>
          <w:rFonts w:hint="eastAsia"/>
          <w:szCs w:val="24"/>
        </w:rPr>
        <w:t xml:space="preserve">　　　　　　　　　　</w:t>
      </w:r>
      <w:r w:rsidRPr="00151886">
        <w:rPr>
          <w:rFonts w:hint="eastAsia"/>
          <w:szCs w:val="24"/>
        </w:rPr>
        <w:t xml:space="preserve">　</w:t>
      </w:r>
      <w:r>
        <w:rPr>
          <w:rFonts w:hAnsi="ＭＳ 明朝" w:hint="eastAsia"/>
          <w:szCs w:val="24"/>
        </w:rPr>
        <w:t>(</w:t>
      </w:r>
      <w:r w:rsidRPr="00151886">
        <w:rPr>
          <w:rFonts w:hAnsi="ＭＳ 明朝" w:hint="eastAsia"/>
          <w:szCs w:val="24"/>
        </w:rPr>
        <w:t>単位：円</w:t>
      </w:r>
      <w:r>
        <w:rPr>
          <w:rFonts w:hAnsi="ＭＳ 明朝" w:hint="eastAsia"/>
          <w:szCs w:val="24"/>
        </w:rPr>
        <w:t>)</w:t>
      </w:r>
    </w:p>
    <w:bookmarkStart w:id="10" w:name="_MON_1436179968"/>
    <w:bookmarkEnd w:id="10"/>
    <w:p w:rsidR="00AC1638" w:rsidRPr="0066107A" w:rsidRDefault="00AC1638" w:rsidP="00AC1638">
      <w:pPr>
        <w:spacing w:line="240" w:lineRule="atLeast"/>
        <w:jc w:val="left"/>
        <w:rPr>
          <w:rFonts w:hAnsi="ＭＳ 明朝"/>
          <w:kern w:val="0"/>
          <w:sz w:val="18"/>
          <w:szCs w:val="18"/>
        </w:rPr>
      </w:pPr>
      <w:r w:rsidRPr="00534ACC">
        <w:rPr>
          <w:rFonts w:hAnsi="ＭＳ 明朝"/>
          <w:kern w:val="0"/>
          <w:sz w:val="22"/>
        </w:rPr>
        <w:object w:dxaOrig="9124" w:dyaOrig="3042">
          <v:shape id="_x0000_i1035" type="#_x0000_t75" style="width:484.5pt;height:156.75pt" o:ole="">
            <v:imagedata r:id="rId33" o:title=""/>
          </v:shape>
          <o:OLEObject Type="Embed" ProgID="Excel.Sheet.12" ShapeID="_x0000_i1035" DrawAspect="Content" ObjectID="_1568638577" r:id="rId34"/>
        </w:object>
      </w:r>
      <w:r w:rsidRPr="00A65160">
        <w:rPr>
          <w:rFonts w:hAnsi="ＭＳ 明朝" w:hint="eastAsia"/>
          <w:kern w:val="0"/>
          <w:sz w:val="18"/>
          <w:szCs w:val="18"/>
        </w:rPr>
        <w:t>（</w:t>
      </w:r>
      <w:r w:rsidRPr="00A62F4E">
        <w:rPr>
          <w:rFonts w:hAnsi="ＭＳ 明朝" w:hint="eastAsia"/>
          <w:kern w:val="0"/>
          <w:sz w:val="18"/>
          <w:szCs w:val="18"/>
        </w:rPr>
        <w:t>注</w:t>
      </w:r>
      <w:r>
        <w:rPr>
          <w:rFonts w:hAnsi="ＭＳ 明朝" w:hint="eastAsia"/>
          <w:kern w:val="0"/>
          <w:sz w:val="18"/>
          <w:szCs w:val="18"/>
        </w:rPr>
        <w:t xml:space="preserve">）　1　</w:t>
      </w:r>
      <w:r w:rsidRPr="00A62F4E">
        <w:rPr>
          <w:rFonts w:hAnsi="ＭＳ 明朝" w:hint="eastAsia"/>
          <w:kern w:val="0"/>
          <w:sz w:val="18"/>
          <w:szCs w:val="18"/>
        </w:rPr>
        <w:t>全国平均は、</w:t>
      </w:r>
      <w:r>
        <w:rPr>
          <w:rFonts w:hAnsi="ＭＳ 明朝" w:hint="eastAsia"/>
          <w:sz w:val="18"/>
          <w:szCs w:val="18"/>
        </w:rPr>
        <w:t>総務省自治財政局編</w:t>
      </w:r>
      <w:r w:rsidRPr="00A62F4E">
        <w:rPr>
          <w:rFonts w:hAnsi="ＭＳ 明朝" w:hint="eastAsia"/>
          <w:kern w:val="0"/>
          <w:sz w:val="18"/>
          <w:szCs w:val="18"/>
        </w:rPr>
        <w:t>「平成</w:t>
      </w:r>
      <w:r w:rsidRPr="0066107A">
        <w:rPr>
          <w:rFonts w:hAnsi="ＭＳ 明朝" w:hint="eastAsia"/>
          <w:kern w:val="0"/>
          <w:sz w:val="18"/>
          <w:szCs w:val="18"/>
        </w:rPr>
        <w:t>27年度及び平成26年度地方公営企業年鑑」の給水人口10万人以上15万人未満</w:t>
      </w:r>
    </w:p>
    <w:p w:rsidR="00AC1638" w:rsidRPr="0066107A" w:rsidRDefault="00AC1638" w:rsidP="00AC1638">
      <w:pPr>
        <w:spacing w:line="240" w:lineRule="atLeast"/>
        <w:ind w:firstLineChars="200" w:firstLine="318"/>
        <w:jc w:val="left"/>
        <w:rPr>
          <w:rFonts w:hAnsi="ＭＳ 明朝"/>
          <w:kern w:val="0"/>
          <w:sz w:val="22"/>
        </w:rPr>
      </w:pPr>
      <w:r w:rsidRPr="0066107A">
        <w:rPr>
          <w:rFonts w:hAnsi="ＭＳ 明朝" w:hint="eastAsia"/>
          <w:kern w:val="0"/>
          <w:sz w:val="18"/>
          <w:szCs w:val="18"/>
        </w:rPr>
        <w:t xml:space="preserve">　　　 の事業の数値</w:t>
      </w:r>
    </w:p>
    <w:p w:rsidR="00AC1638" w:rsidRPr="0066107A" w:rsidRDefault="00AC1638" w:rsidP="00AC1638">
      <w:pPr>
        <w:spacing w:line="240" w:lineRule="atLeast"/>
        <w:ind w:firstLineChars="400" w:firstLine="636"/>
        <w:jc w:val="left"/>
        <w:rPr>
          <w:rFonts w:hAnsi="ＭＳ 明朝"/>
          <w:kern w:val="0"/>
          <w:sz w:val="18"/>
          <w:szCs w:val="18"/>
        </w:rPr>
      </w:pPr>
      <w:r w:rsidRPr="0066107A">
        <w:rPr>
          <w:rFonts w:hAnsi="ＭＳ 明朝" w:hint="eastAsia"/>
          <w:kern w:val="0"/>
          <w:sz w:val="18"/>
          <w:szCs w:val="18"/>
        </w:rPr>
        <w:t>2　経常費用＝営業費用－長期前受金戻入＋営業外費用</w:t>
      </w:r>
    </w:p>
    <w:p w:rsidR="00AC1638" w:rsidRPr="0066107A" w:rsidRDefault="00AC1638" w:rsidP="00AC1638">
      <w:pPr>
        <w:spacing w:line="240" w:lineRule="atLeast"/>
        <w:ind w:left="1" w:right="-2" w:firstLineChars="200" w:firstLine="318"/>
        <w:jc w:val="left"/>
        <w:rPr>
          <w:rFonts w:hAnsi="ＭＳ 明朝"/>
          <w:kern w:val="0"/>
          <w:sz w:val="18"/>
          <w:szCs w:val="18"/>
        </w:rPr>
      </w:pPr>
      <w:r w:rsidRPr="0066107A">
        <w:rPr>
          <w:rFonts w:hAnsi="ＭＳ 明朝" w:hint="eastAsia"/>
          <w:kern w:val="0"/>
          <w:sz w:val="18"/>
          <w:szCs w:val="18"/>
        </w:rPr>
        <w:t xml:space="preserve">　</w:t>
      </w:r>
    </w:p>
    <w:p w:rsidR="00AC1638" w:rsidRPr="0066107A" w:rsidRDefault="00AC1638" w:rsidP="00AC1638">
      <w:pPr>
        <w:tabs>
          <w:tab w:val="left" w:pos="426"/>
        </w:tabs>
        <w:spacing w:line="360" w:lineRule="exact"/>
        <w:ind w:leftChars="100" w:left="219" w:firstLineChars="100" w:firstLine="219"/>
        <w:jc w:val="distribute"/>
        <w:rPr>
          <w:rFonts w:hAnsi="ＭＳ 明朝"/>
          <w:kern w:val="0"/>
          <w:szCs w:val="24"/>
        </w:rPr>
      </w:pPr>
      <w:r w:rsidRPr="0066107A">
        <w:rPr>
          <w:rFonts w:hAnsi="ＭＳ 明朝" w:hint="eastAsia"/>
          <w:kern w:val="0"/>
          <w:szCs w:val="24"/>
        </w:rPr>
        <w:t>有収水量１㎥当たりの供給単価は188円84銭で、前年度に比べ4銭の減少、</w:t>
      </w:r>
      <w:r w:rsidRPr="0066107A">
        <w:rPr>
          <w:rFonts w:hAnsi="ＭＳ 明朝" w:hint="eastAsia"/>
          <w:szCs w:val="24"/>
        </w:rPr>
        <w:t>給水</w:t>
      </w:r>
      <w:r w:rsidRPr="0066107A">
        <w:rPr>
          <w:rFonts w:hAnsi="ＭＳ 明朝" w:hint="eastAsia"/>
          <w:kern w:val="0"/>
          <w:szCs w:val="24"/>
        </w:rPr>
        <w:t xml:space="preserve">原価は </w:t>
      </w:r>
    </w:p>
    <w:p w:rsidR="00AC1638" w:rsidRPr="00F43BD4" w:rsidRDefault="00AC1638" w:rsidP="00AC1638">
      <w:pPr>
        <w:spacing w:line="360" w:lineRule="exact"/>
        <w:ind w:leftChars="100" w:left="219"/>
        <w:jc w:val="left"/>
        <w:rPr>
          <w:rFonts w:hAnsi="ＭＳ 明朝"/>
          <w:kern w:val="0"/>
          <w:szCs w:val="24"/>
        </w:rPr>
      </w:pPr>
      <w:r w:rsidRPr="0066107A">
        <w:rPr>
          <w:rFonts w:hAnsi="ＭＳ 明朝" w:hint="eastAsia"/>
          <w:kern w:val="0"/>
          <w:szCs w:val="24"/>
        </w:rPr>
        <w:t>156円</w:t>
      </w:r>
      <w:r>
        <w:rPr>
          <w:rFonts w:hAnsi="ＭＳ 明朝" w:hint="eastAsia"/>
          <w:kern w:val="0"/>
          <w:szCs w:val="24"/>
        </w:rPr>
        <w:t>94</w:t>
      </w:r>
      <w:r w:rsidRPr="0066107A">
        <w:rPr>
          <w:rFonts w:hAnsi="ＭＳ 明朝" w:hint="eastAsia"/>
          <w:kern w:val="0"/>
          <w:szCs w:val="24"/>
        </w:rPr>
        <w:t>銭で、前年度に比べ9円8</w:t>
      </w:r>
      <w:r>
        <w:rPr>
          <w:rFonts w:hAnsi="ＭＳ 明朝" w:hint="eastAsia"/>
          <w:kern w:val="0"/>
          <w:szCs w:val="24"/>
        </w:rPr>
        <w:t>4</w:t>
      </w:r>
      <w:r w:rsidRPr="0066107A">
        <w:rPr>
          <w:rFonts w:hAnsi="ＭＳ 明朝" w:hint="eastAsia"/>
          <w:kern w:val="0"/>
          <w:szCs w:val="24"/>
        </w:rPr>
        <w:t>銭の減少となり、1㎥当たり31円</w:t>
      </w:r>
      <w:r>
        <w:rPr>
          <w:rFonts w:hAnsi="ＭＳ 明朝" w:hint="eastAsia"/>
          <w:kern w:val="0"/>
          <w:szCs w:val="24"/>
        </w:rPr>
        <w:t>90</w:t>
      </w:r>
      <w:r w:rsidRPr="0066107A">
        <w:rPr>
          <w:rFonts w:hAnsi="ＭＳ 明朝" w:hint="eastAsia"/>
          <w:kern w:val="0"/>
          <w:szCs w:val="24"/>
        </w:rPr>
        <w:t>銭の利益が生じている。</w:t>
      </w:r>
    </w:p>
    <w:p w:rsidR="00AC1638" w:rsidRPr="00151886" w:rsidRDefault="00AC1638" w:rsidP="00AC1638">
      <w:pPr>
        <w:kinsoku w:val="0"/>
        <w:overflowPunct w:val="0"/>
        <w:snapToGrid w:val="0"/>
        <w:spacing w:line="362" w:lineRule="exact"/>
        <w:jc w:val="left"/>
        <w:rPr>
          <w:rFonts w:hAnsi="ＭＳ 明朝"/>
          <w:szCs w:val="24"/>
        </w:rPr>
      </w:pPr>
      <w:r>
        <w:rPr>
          <w:rFonts w:hAnsi="ＭＳ 明朝" w:hint="eastAsia"/>
          <w:szCs w:val="24"/>
        </w:rPr>
        <w:t xml:space="preserve">　　</w:t>
      </w: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Pr="00151886" w:rsidRDefault="00AC1638" w:rsidP="00AC1638">
      <w:pPr>
        <w:kinsoku w:val="0"/>
        <w:overflowPunct w:val="0"/>
        <w:snapToGrid w:val="0"/>
        <w:spacing w:line="362" w:lineRule="exact"/>
        <w:jc w:val="left"/>
        <w:rPr>
          <w:rFonts w:hAnsi="ＭＳ 明朝"/>
          <w:szCs w:val="24"/>
        </w:rPr>
      </w:pPr>
    </w:p>
    <w:p w:rsidR="00AC1638" w:rsidRDefault="00AC1638" w:rsidP="00AC1638">
      <w:pPr>
        <w:kinsoku w:val="0"/>
        <w:overflowPunct w:val="0"/>
        <w:snapToGrid w:val="0"/>
        <w:spacing w:line="362" w:lineRule="exact"/>
        <w:jc w:val="left"/>
        <w:rPr>
          <w:rFonts w:hAnsi="ＭＳ 明朝"/>
          <w:szCs w:val="24"/>
        </w:rPr>
      </w:pPr>
    </w:p>
    <w:p w:rsidR="00AC1638" w:rsidRDefault="00AC1638" w:rsidP="00AC1638">
      <w:pPr>
        <w:kinsoku w:val="0"/>
        <w:overflowPunct w:val="0"/>
        <w:snapToGrid w:val="0"/>
        <w:spacing w:line="362" w:lineRule="exact"/>
        <w:jc w:val="left"/>
        <w:rPr>
          <w:rFonts w:hAnsi="ＭＳ 明朝"/>
          <w:szCs w:val="24"/>
        </w:rPr>
      </w:pPr>
    </w:p>
    <w:p w:rsidR="00AC1638" w:rsidRDefault="00AC1638" w:rsidP="00AC1638">
      <w:pPr>
        <w:kinsoku w:val="0"/>
        <w:overflowPunct w:val="0"/>
        <w:snapToGrid w:val="0"/>
        <w:spacing w:line="362" w:lineRule="exact"/>
        <w:jc w:val="left"/>
        <w:rPr>
          <w:rFonts w:hAnsi="ＭＳ 明朝"/>
          <w:szCs w:val="24"/>
        </w:rPr>
      </w:pPr>
    </w:p>
    <w:p w:rsidR="00AC1638" w:rsidRDefault="00AC1638" w:rsidP="00AC1638">
      <w:pPr>
        <w:rPr>
          <w:rFonts w:ascii="ＭＳ ゴシック" w:eastAsia="ＭＳ ゴシック" w:hAnsi="ＭＳ ゴシック"/>
          <w:szCs w:val="24"/>
        </w:rPr>
      </w:pPr>
    </w:p>
    <w:p w:rsidR="00AC1638" w:rsidRDefault="00AC1638" w:rsidP="005820BF">
      <w:pPr>
        <w:jc w:val="left"/>
        <w:rPr>
          <w:rFonts w:ascii="ＭＳ ゴシック" w:eastAsia="ＭＳ ゴシック" w:hAnsi="ＭＳ ゴシック"/>
          <w:sz w:val="22"/>
        </w:rPr>
        <w:sectPr w:rsidR="00AC1638" w:rsidSect="002E1212">
          <w:pgSz w:w="11906" w:h="16838" w:code="9"/>
          <w:pgMar w:top="1021" w:right="1134" w:bottom="1021" w:left="1134" w:header="680" w:footer="397" w:gutter="0"/>
          <w:pgNumType w:fmt="numberInDash"/>
          <w:cols w:space="425"/>
          <w:docGrid w:type="linesAndChars" w:linePitch="328" w:charSpace="-4292"/>
        </w:sectPr>
      </w:pPr>
    </w:p>
    <w:p w:rsidR="00AC1638" w:rsidRPr="00484416" w:rsidRDefault="00AC1638" w:rsidP="00AC1638">
      <w:pPr>
        <w:spacing w:line="360" w:lineRule="exact"/>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AC1638" w:rsidRPr="00484416" w:rsidRDefault="00AC1638" w:rsidP="00AC1638">
      <w:pPr>
        <w:spacing w:line="360" w:lineRule="exact"/>
        <w:ind w:firstLineChars="200" w:firstLine="434"/>
        <w:rPr>
          <w:szCs w:val="24"/>
        </w:rPr>
      </w:pPr>
      <w:r w:rsidRPr="00484416">
        <w:rPr>
          <w:rFonts w:hint="eastAsia"/>
          <w:szCs w:val="24"/>
        </w:rPr>
        <w:t>資産、負債及び資本の内訳は、下表のとおりである。</w:t>
      </w:r>
    </w:p>
    <w:p w:rsidR="00AC1638" w:rsidRPr="00484416" w:rsidRDefault="00AC1638" w:rsidP="00AC1638">
      <w:pPr>
        <w:spacing w:line="360" w:lineRule="exact"/>
        <w:ind w:firstLineChars="100" w:firstLine="217"/>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r>
        <w:rPr>
          <w:rFonts w:hAnsi="ＭＳ 明朝"/>
          <w:szCs w:val="24"/>
        </w:rPr>
        <w:t>）</w:t>
      </w:r>
    </w:p>
    <w:bookmarkStart w:id="11" w:name="_MON_1436183313"/>
    <w:bookmarkEnd w:id="11"/>
    <w:p w:rsidR="00AC1638" w:rsidRDefault="00AC1638" w:rsidP="00AC1638">
      <w:pPr>
        <w:kinsoku w:val="0"/>
        <w:overflowPunct w:val="0"/>
        <w:snapToGrid w:val="0"/>
        <w:jc w:val="left"/>
        <w:rPr>
          <w:rFonts w:hAnsi="ＭＳ 明朝"/>
          <w:sz w:val="22"/>
        </w:rPr>
      </w:pPr>
      <w:r w:rsidRPr="00094087">
        <w:rPr>
          <w:rFonts w:hAnsi="ＭＳ 明朝"/>
          <w:sz w:val="22"/>
        </w:rPr>
        <w:object w:dxaOrig="9456" w:dyaOrig="4024">
          <v:shape id="_x0000_i1036" type="#_x0000_t75" style="width:481.5pt;height:192pt" o:ole="">
            <v:imagedata r:id="rId35" o:title=""/>
          </v:shape>
          <o:OLEObject Type="Embed" ProgID="Excel.Sheet.12" ShapeID="_x0000_i1036" DrawAspect="Content" ObjectID="_1568638578" r:id="rId36"/>
        </w:object>
      </w:r>
    </w:p>
    <w:p w:rsidR="00AC1638" w:rsidRDefault="00AC1638" w:rsidP="00AC1638">
      <w:pPr>
        <w:spacing w:line="360" w:lineRule="exact"/>
        <w:ind w:firstLineChars="100" w:firstLine="157"/>
        <w:rPr>
          <w:rFonts w:hAnsi="ＭＳ 明朝"/>
          <w:sz w:val="18"/>
          <w:szCs w:val="18"/>
        </w:rPr>
      </w:pPr>
    </w:p>
    <w:p w:rsidR="00AC1638" w:rsidRPr="00484416" w:rsidRDefault="00AC1638" w:rsidP="00AC1638">
      <w:pPr>
        <w:spacing w:line="360" w:lineRule="exact"/>
        <w:ind w:firstLineChars="100" w:firstLine="217"/>
        <w:rPr>
          <w:rFonts w:ascii="ＭＳ ゴシック" w:eastAsia="ＭＳ ゴシック" w:hAnsi="ＭＳ ゴシック"/>
          <w:szCs w:val="24"/>
        </w:rPr>
      </w:pPr>
      <w:r>
        <w:rPr>
          <w:rFonts w:ascii="ＭＳ ゴシック" w:eastAsia="ＭＳ ゴシック" w:hAnsi="ＭＳ ゴシック" w:hint="eastAsia"/>
          <w:szCs w:val="24"/>
        </w:rPr>
        <w:t>⑴　資産の</w:t>
      </w:r>
      <w:r w:rsidRPr="00484416">
        <w:rPr>
          <w:rFonts w:ascii="ＭＳ ゴシック" w:eastAsia="ＭＳ ゴシック" w:hAnsi="ＭＳ ゴシック" w:hint="eastAsia"/>
          <w:szCs w:val="24"/>
        </w:rPr>
        <w:t>部</w:t>
      </w:r>
    </w:p>
    <w:p w:rsidR="00AC1638" w:rsidRPr="00484416" w:rsidRDefault="00AC1638" w:rsidP="00AC1638">
      <w:pPr>
        <w:spacing w:line="360" w:lineRule="exact"/>
        <w:ind w:firstLineChars="300" w:firstLine="651"/>
        <w:rPr>
          <w:szCs w:val="24"/>
        </w:rPr>
      </w:pPr>
      <w:r w:rsidRPr="00484416">
        <w:rPr>
          <w:rFonts w:hint="eastAsia"/>
          <w:szCs w:val="24"/>
        </w:rPr>
        <w:t>資産の内訳は、下表のとおりである。</w:t>
      </w:r>
    </w:p>
    <w:p w:rsidR="00AC1638" w:rsidRDefault="00AC1638" w:rsidP="00AC1638">
      <w:pPr>
        <w:spacing w:line="360" w:lineRule="exact"/>
        <w:ind w:firstLineChars="100" w:firstLine="217"/>
        <w:rPr>
          <w:rFonts w:hAnsi="ＭＳ 明朝"/>
          <w:szCs w:val="24"/>
        </w:rPr>
      </w:pP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2" w:name="_MON_1436185429"/>
    <w:bookmarkEnd w:id="12"/>
    <w:p w:rsidR="00AC1638" w:rsidRDefault="00AC1638" w:rsidP="00AC1638">
      <w:pPr>
        <w:kinsoku w:val="0"/>
        <w:overflowPunct w:val="0"/>
        <w:snapToGrid w:val="0"/>
        <w:jc w:val="left"/>
        <w:rPr>
          <w:rFonts w:hAnsi="ＭＳ 明朝"/>
          <w:sz w:val="22"/>
        </w:rPr>
      </w:pPr>
      <w:r w:rsidRPr="00094087">
        <w:rPr>
          <w:rFonts w:hAnsi="ＭＳ 明朝"/>
          <w:sz w:val="22"/>
        </w:rPr>
        <w:object w:dxaOrig="10890" w:dyaOrig="6262">
          <v:shape id="_x0000_i1037" type="#_x0000_t75" style="width:481.5pt;height:321.75pt" o:ole="">
            <v:imagedata r:id="rId37" o:title=""/>
          </v:shape>
          <o:OLEObject Type="Embed" ProgID="Excel.Sheet.12" ShapeID="_x0000_i1037" DrawAspect="Content" ObjectID="_1568638579" r:id="rId38"/>
        </w:object>
      </w:r>
    </w:p>
    <w:p w:rsidR="00AC1638" w:rsidRDefault="00AC1638" w:rsidP="00AC1638">
      <w:pPr>
        <w:kinsoku w:val="0"/>
        <w:overflowPunct w:val="0"/>
        <w:snapToGrid w:val="0"/>
        <w:jc w:val="left"/>
        <w:rPr>
          <w:rFonts w:hAnsi="ＭＳ 明朝"/>
          <w:sz w:val="22"/>
        </w:rPr>
      </w:pPr>
    </w:p>
    <w:p w:rsidR="00AC1638" w:rsidRDefault="00AC1638" w:rsidP="00AC1638">
      <w:pPr>
        <w:kinsoku w:val="0"/>
        <w:overflowPunct w:val="0"/>
        <w:snapToGrid w:val="0"/>
        <w:jc w:val="left"/>
        <w:rPr>
          <w:rFonts w:hAnsi="ＭＳ 明朝"/>
          <w:sz w:val="22"/>
        </w:rPr>
      </w:pPr>
    </w:p>
    <w:p w:rsidR="00AC1638" w:rsidRDefault="00AC1638" w:rsidP="00AC1638">
      <w:pPr>
        <w:kinsoku w:val="0"/>
        <w:overflowPunct w:val="0"/>
        <w:snapToGrid w:val="0"/>
        <w:jc w:val="left"/>
        <w:rPr>
          <w:rFonts w:hAnsi="ＭＳ 明朝"/>
          <w:sz w:val="22"/>
        </w:rPr>
      </w:pPr>
    </w:p>
    <w:p w:rsidR="00AC1638" w:rsidRDefault="00AC1638" w:rsidP="00AC1638">
      <w:pPr>
        <w:kinsoku w:val="0"/>
        <w:overflowPunct w:val="0"/>
        <w:snapToGrid w:val="0"/>
        <w:jc w:val="left"/>
        <w:rPr>
          <w:rFonts w:hAnsi="ＭＳ 明朝"/>
          <w:sz w:val="22"/>
        </w:rPr>
      </w:pPr>
    </w:p>
    <w:p w:rsidR="00AC1638" w:rsidRPr="00B568F9" w:rsidRDefault="00AC1638" w:rsidP="00AC1638">
      <w:pPr>
        <w:kinsoku w:val="0"/>
        <w:overflowPunct w:val="0"/>
        <w:snapToGrid w:val="0"/>
        <w:jc w:val="left"/>
        <w:rPr>
          <w:rFonts w:hAnsi="ＭＳ 明朝"/>
          <w:szCs w:val="24"/>
        </w:rPr>
      </w:pPr>
      <w:r w:rsidRPr="00B568F9">
        <w:rPr>
          <w:rFonts w:ascii="ＭＳ ゴシック" w:eastAsia="ＭＳ ゴシック" w:hAnsi="ＭＳ ゴシック" w:hint="eastAsia"/>
          <w:szCs w:val="24"/>
        </w:rPr>
        <w:lastRenderedPageBreak/>
        <w:t>有形固定資産明細書</w:t>
      </w:r>
      <w:r>
        <w:rPr>
          <w:rFonts w:ascii="ＭＳ ゴシック" w:eastAsia="ＭＳ ゴシック" w:hAnsi="ＭＳ ゴシック" w:hint="eastAsia"/>
          <w:szCs w:val="24"/>
        </w:rPr>
        <w:t xml:space="preserve">　　　　　　　　　　　　　　　　　　　　　　　　　　　　　(</w:t>
      </w:r>
      <w:r>
        <w:rPr>
          <w:rFonts w:hAnsi="ＭＳ 明朝" w:hint="eastAsia"/>
          <w:szCs w:val="24"/>
        </w:rPr>
        <w:t>単位：千円)</w:t>
      </w:r>
    </w:p>
    <w:bookmarkStart w:id="13" w:name="_MON_1436341860"/>
    <w:bookmarkEnd w:id="13"/>
    <w:p w:rsidR="00AC1638" w:rsidRPr="00FF7A81" w:rsidRDefault="00AC1638" w:rsidP="00AC1638">
      <w:pPr>
        <w:tabs>
          <w:tab w:val="left" w:pos="1276"/>
        </w:tabs>
        <w:kinsoku w:val="0"/>
        <w:overflowPunct w:val="0"/>
        <w:snapToGrid w:val="0"/>
        <w:jc w:val="left"/>
        <w:rPr>
          <w:rFonts w:hAnsi="ＭＳ 明朝"/>
          <w:szCs w:val="24"/>
        </w:rPr>
      </w:pPr>
      <w:r w:rsidRPr="00094087">
        <w:rPr>
          <w:rFonts w:hAnsi="ＭＳ 明朝"/>
          <w:szCs w:val="24"/>
        </w:rPr>
        <w:object w:dxaOrig="10275" w:dyaOrig="4257">
          <v:shape id="_x0000_i1038" type="#_x0000_t75" style="width:486pt;height:247.5pt" o:ole="">
            <v:imagedata r:id="rId39" o:title=""/>
          </v:shape>
          <o:OLEObject Type="Embed" ProgID="Excel.Sheet.12" ShapeID="_x0000_i1038" DrawAspect="Content" ObjectID="_1568638580" r:id="rId40"/>
        </w:object>
      </w:r>
    </w:p>
    <w:p w:rsidR="00AC1638" w:rsidRPr="00CB64CB" w:rsidRDefault="00AC1638" w:rsidP="00AC1638">
      <w:pPr>
        <w:kinsoku w:val="0"/>
        <w:overflowPunct w:val="0"/>
        <w:snapToGrid w:val="0"/>
        <w:ind w:right="321" w:firstLineChars="200" w:firstLine="442"/>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 xml:space="preserve">ア　</w:t>
      </w:r>
      <w:r w:rsidRPr="00CB64CB">
        <w:rPr>
          <w:rFonts w:asciiTheme="minorEastAsia" w:eastAsiaTheme="minorEastAsia" w:hAnsiTheme="minorEastAsia" w:hint="eastAsia"/>
          <w:spacing w:val="2"/>
          <w:kern w:val="0"/>
          <w:szCs w:val="24"/>
        </w:rPr>
        <w:t>固定資産</w:t>
      </w:r>
    </w:p>
    <w:p w:rsidR="00AC1638" w:rsidRPr="00966E67" w:rsidRDefault="00AC1638" w:rsidP="00AC1638">
      <w:pPr>
        <w:kinsoku w:val="0"/>
        <w:overflowPunct w:val="0"/>
        <w:snapToGrid w:val="0"/>
        <w:ind w:right="-6" w:firstLineChars="400" w:firstLine="884"/>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固定資産は</w:t>
      </w:r>
      <w:r w:rsidRPr="00B90D2F">
        <w:rPr>
          <w:rFonts w:asciiTheme="minorEastAsia" w:eastAsiaTheme="minorEastAsia" w:hAnsiTheme="minorEastAsia" w:hint="eastAsia"/>
          <w:spacing w:val="2"/>
          <w:szCs w:val="24"/>
        </w:rPr>
        <w:t>24,749,168</w:t>
      </w:r>
      <w:r w:rsidRPr="00CB64CB">
        <w:rPr>
          <w:rFonts w:asciiTheme="minorEastAsia" w:eastAsiaTheme="minorEastAsia" w:hAnsiTheme="minorEastAsia" w:hint="eastAsia"/>
          <w:spacing w:val="2"/>
          <w:szCs w:val="24"/>
        </w:rPr>
        <w:t xml:space="preserve">千円で､前年度に比べ </w:t>
      </w:r>
      <w:r w:rsidRPr="00966E67">
        <w:rPr>
          <w:rFonts w:asciiTheme="minorEastAsia" w:eastAsiaTheme="minorEastAsia" w:hAnsiTheme="minorEastAsia" w:hint="eastAsia"/>
          <w:spacing w:val="2"/>
          <w:szCs w:val="24"/>
        </w:rPr>
        <w:t>376,069千円(1.5％)増加している。</w:t>
      </w:r>
    </w:p>
    <w:p w:rsidR="00AC1638" w:rsidRPr="00B90D2F" w:rsidRDefault="00AC1638" w:rsidP="00AC1638">
      <w:pPr>
        <w:kinsoku w:val="0"/>
        <w:overflowPunct w:val="0"/>
        <w:snapToGrid w:val="0"/>
        <w:ind w:leftChars="300" w:left="651" w:right="-2" w:firstLineChars="100" w:firstLine="217"/>
        <w:rPr>
          <w:rFonts w:asciiTheme="minorEastAsia" w:eastAsiaTheme="minorEastAsia" w:hAnsiTheme="minorEastAsia"/>
          <w:spacing w:val="2"/>
          <w:kern w:val="0"/>
          <w:szCs w:val="24"/>
        </w:rPr>
      </w:pPr>
      <w:r w:rsidRPr="00966E67">
        <w:rPr>
          <w:rFonts w:asciiTheme="minorEastAsia" w:eastAsiaTheme="minorEastAsia" w:hAnsiTheme="minorEastAsia" w:hint="eastAsia"/>
          <w:kern w:val="0"/>
          <w:szCs w:val="24"/>
        </w:rPr>
        <w:t>これは主に、構築物が減少したものの機械及</w:t>
      </w:r>
      <w:r w:rsidRPr="00B90D2F">
        <w:rPr>
          <w:rFonts w:asciiTheme="minorEastAsia" w:eastAsiaTheme="minorEastAsia" w:hAnsiTheme="minorEastAsia" w:hint="eastAsia"/>
          <w:kern w:val="0"/>
          <w:szCs w:val="24"/>
        </w:rPr>
        <w:t>び装置</w:t>
      </w:r>
      <w:r>
        <w:rPr>
          <w:rFonts w:asciiTheme="minorEastAsia" w:eastAsiaTheme="minorEastAsia" w:hAnsiTheme="minorEastAsia" w:hint="eastAsia"/>
          <w:kern w:val="0"/>
          <w:szCs w:val="24"/>
        </w:rPr>
        <w:t>が</w:t>
      </w:r>
      <w:r w:rsidRPr="00B90D2F">
        <w:rPr>
          <w:rFonts w:asciiTheme="minorEastAsia" w:eastAsiaTheme="minorEastAsia" w:hAnsiTheme="minorEastAsia" w:hint="eastAsia"/>
          <w:spacing w:val="2"/>
          <w:kern w:val="0"/>
          <w:szCs w:val="24"/>
        </w:rPr>
        <w:t>増加した</w:t>
      </w:r>
      <w:r w:rsidRPr="00B90D2F">
        <w:rPr>
          <w:rFonts w:asciiTheme="minorEastAsia" w:eastAsiaTheme="minorEastAsia" w:hAnsiTheme="minorEastAsia" w:hint="eastAsia"/>
          <w:spacing w:val="2"/>
          <w:szCs w:val="24"/>
        </w:rPr>
        <w:t>ことによるものである。</w:t>
      </w:r>
    </w:p>
    <w:p w:rsidR="00AC1638" w:rsidRDefault="00AC1638" w:rsidP="00AC1638">
      <w:pPr>
        <w:kinsoku w:val="0"/>
        <w:overflowPunct w:val="0"/>
        <w:snapToGrid w:val="0"/>
        <w:ind w:leftChars="300" w:left="651" w:right="-2" w:firstLineChars="100" w:firstLine="221"/>
        <w:rPr>
          <w:rFonts w:asciiTheme="minorEastAsia" w:eastAsiaTheme="minorEastAsia" w:hAnsiTheme="minorEastAsia"/>
          <w:spacing w:val="2"/>
          <w:kern w:val="0"/>
          <w:szCs w:val="24"/>
        </w:rPr>
      </w:pPr>
      <w:r w:rsidRPr="00B90D2F">
        <w:rPr>
          <w:rFonts w:asciiTheme="minorEastAsia" w:eastAsiaTheme="minorEastAsia" w:hAnsiTheme="minorEastAsia" w:hint="eastAsia"/>
          <w:spacing w:val="2"/>
          <w:kern w:val="0"/>
          <w:szCs w:val="24"/>
        </w:rPr>
        <w:t>また、投資は県営境川ダム建設出資金である</w:t>
      </w:r>
      <w:r>
        <w:rPr>
          <w:rFonts w:asciiTheme="minorEastAsia" w:eastAsiaTheme="minorEastAsia" w:hAnsiTheme="minorEastAsia" w:hint="eastAsia"/>
          <w:spacing w:val="2"/>
          <w:kern w:val="0"/>
          <w:szCs w:val="24"/>
        </w:rPr>
        <w:t>。</w:t>
      </w:r>
    </w:p>
    <w:p w:rsidR="00AC1638" w:rsidRPr="00DF6A9F" w:rsidRDefault="00AC1638" w:rsidP="00AC1638">
      <w:pPr>
        <w:kinsoku w:val="0"/>
        <w:overflowPunct w:val="0"/>
        <w:snapToGrid w:val="0"/>
        <w:ind w:leftChars="300" w:left="651" w:right="-2" w:firstLineChars="100" w:firstLine="221"/>
        <w:jc w:val="left"/>
        <w:rPr>
          <w:rFonts w:asciiTheme="minorEastAsia" w:eastAsiaTheme="minorEastAsia" w:hAnsiTheme="minorEastAsia"/>
          <w:spacing w:val="2"/>
          <w:kern w:val="0"/>
          <w:szCs w:val="24"/>
        </w:rPr>
      </w:pPr>
    </w:p>
    <w:p w:rsidR="00AC1638" w:rsidRPr="007138A8" w:rsidRDefault="00AC1638" w:rsidP="00AC1638">
      <w:pPr>
        <w:kinsoku w:val="0"/>
        <w:overflowPunct w:val="0"/>
        <w:snapToGrid w:val="0"/>
        <w:ind w:right="1021" w:firstLineChars="200" w:firstLine="434"/>
        <w:jc w:val="left"/>
        <w:rPr>
          <w:rFonts w:hAnsi="ＭＳ 明朝"/>
          <w:szCs w:val="24"/>
        </w:rPr>
      </w:pPr>
      <w:r w:rsidRPr="007138A8">
        <w:rPr>
          <w:rFonts w:hAnsi="ＭＳ 明朝" w:hint="eastAsia"/>
          <w:szCs w:val="24"/>
        </w:rPr>
        <w:t xml:space="preserve">イ　</w:t>
      </w:r>
      <w:r w:rsidRPr="007138A8">
        <w:rPr>
          <w:rFonts w:hAnsi="ＭＳ 明朝" w:hint="eastAsia"/>
          <w:kern w:val="0"/>
          <w:szCs w:val="24"/>
        </w:rPr>
        <w:t>流動資産</w:t>
      </w:r>
    </w:p>
    <w:p w:rsidR="00AC1638" w:rsidRDefault="00AC1638" w:rsidP="00AC1638">
      <w:pPr>
        <w:tabs>
          <w:tab w:val="left" w:pos="9360"/>
        </w:tabs>
        <w:kinsoku w:val="0"/>
        <w:overflowPunct w:val="0"/>
        <w:snapToGrid w:val="0"/>
        <w:ind w:right="-6" w:firstLineChars="400" w:firstLine="852"/>
        <w:jc w:val="left"/>
        <w:rPr>
          <w:rFonts w:asciiTheme="minorEastAsia" w:eastAsiaTheme="minorEastAsia" w:hAnsiTheme="minorEastAsia"/>
          <w:spacing w:val="-2"/>
          <w:szCs w:val="24"/>
        </w:rPr>
      </w:pPr>
      <w:r w:rsidRPr="00263B0A">
        <w:rPr>
          <w:rFonts w:asciiTheme="minorEastAsia" w:eastAsiaTheme="minorEastAsia" w:hAnsiTheme="minorEastAsia" w:hint="eastAsia"/>
          <w:spacing w:val="-2"/>
          <w:szCs w:val="24"/>
        </w:rPr>
        <w:t>流動資産は</w:t>
      </w:r>
      <w:r w:rsidRPr="00812B94">
        <w:rPr>
          <w:rFonts w:asciiTheme="minorEastAsia" w:eastAsiaTheme="minorEastAsia" w:hAnsiTheme="minorEastAsia" w:hint="eastAsia"/>
          <w:spacing w:val="-2"/>
          <w:szCs w:val="24"/>
        </w:rPr>
        <w:t>2,121,509千円で､前年度に比べ 72,511千円(3.5</w:t>
      </w:r>
      <w:r w:rsidRPr="00263B0A">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増加</w:t>
      </w:r>
      <w:r w:rsidRPr="00263B0A">
        <w:rPr>
          <w:rFonts w:asciiTheme="minorEastAsia" w:eastAsiaTheme="minorEastAsia" w:hAnsiTheme="minorEastAsia" w:hint="eastAsia"/>
          <w:spacing w:val="-2"/>
          <w:szCs w:val="24"/>
        </w:rPr>
        <w:t>している。</w:t>
      </w:r>
    </w:p>
    <w:p w:rsidR="00AC1638" w:rsidRPr="00263B0A" w:rsidRDefault="00AC1638" w:rsidP="00AC1638">
      <w:pPr>
        <w:kinsoku w:val="0"/>
        <w:overflowPunct w:val="0"/>
        <w:snapToGrid w:val="0"/>
        <w:ind w:leftChars="300" w:left="651" w:right="37" w:firstLineChars="100" w:firstLine="213"/>
        <w:jc w:val="left"/>
        <w:rPr>
          <w:rFonts w:asciiTheme="minorEastAsia" w:eastAsiaTheme="minorEastAsia" w:hAnsiTheme="minorEastAsia"/>
          <w:spacing w:val="-2"/>
          <w:szCs w:val="24"/>
        </w:rPr>
      </w:pPr>
      <w:r>
        <w:rPr>
          <w:rFonts w:asciiTheme="minorEastAsia" w:eastAsiaTheme="minorEastAsia" w:hAnsiTheme="minorEastAsia" w:hint="eastAsia"/>
          <w:spacing w:val="-2"/>
          <w:szCs w:val="24"/>
        </w:rPr>
        <w:t>こ</w:t>
      </w:r>
      <w:r w:rsidRPr="00263B0A">
        <w:rPr>
          <w:rFonts w:asciiTheme="minorEastAsia" w:eastAsiaTheme="minorEastAsia" w:hAnsiTheme="minorEastAsia" w:hint="eastAsia"/>
          <w:spacing w:val="-2"/>
          <w:szCs w:val="24"/>
        </w:rPr>
        <w:t>れは主に、</w:t>
      </w:r>
      <w:r w:rsidRPr="00966E67">
        <w:rPr>
          <w:rFonts w:asciiTheme="minorEastAsia" w:eastAsiaTheme="minorEastAsia" w:hAnsiTheme="minorEastAsia" w:hint="eastAsia"/>
          <w:spacing w:val="-2"/>
          <w:szCs w:val="24"/>
        </w:rPr>
        <w:t>前払金が減少したものの</w:t>
      </w:r>
      <w:r w:rsidRPr="00263B0A">
        <w:rPr>
          <w:rFonts w:asciiTheme="minorEastAsia" w:eastAsiaTheme="minorEastAsia" w:hAnsiTheme="minorEastAsia" w:hint="eastAsia"/>
          <w:spacing w:val="-2"/>
          <w:kern w:val="0"/>
          <w:szCs w:val="24"/>
        </w:rPr>
        <w:t>現金及び預金が</w:t>
      </w:r>
      <w:r w:rsidRPr="00812B94">
        <w:rPr>
          <w:rFonts w:asciiTheme="minorEastAsia" w:eastAsiaTheme="minorEastAsia" w:hAnsiTheme="minorEastAsia" w:hint="eastAsia"/>
          <w:spacing w:val="-2"/>
          <w:kern w:val="0"/>
          <w:szCs w:val="24"/>
        </w:rPr>
        <w:t>増加</w:t>
      </w:r>
      <w:r w:rsidRPr="00263B0A">
        <w:rPr>
          <w:rFonts w:asciiTheme="minorEastAsia" w:eastAsiaTheme="minorEastAsia" w:hAnsiTheme="minorEastAsia" w:hint="eastAsia"/>
          <w:spacing w:val="-2"/>
          <w:kern w:val="0"/>
          <w:szCs w:val="24"/>
        </w:rPr>
        <w:t>した</w:t>
      </w:r>
      <w:r>
        <w:rPr>
          <w:rFonts w:asciiTheme="minorEastAsia" w:eastAsiaTheme="minorEastAsia" w:hAnsiTheme="minorEastAsia" w:hint="eastAsia"/>
          <w:spacing w:val="-2"/>
          <w:kern w:val="0"/>
          <w:szCs w:val="24"/>
        </w:rPr>
        <w:t>ことによるものである。</w:t>
      </w:r>
    </w:p>
    <w:p w:rsidR="00AC1638" w:rsidRPr="00263B0A" w:rsidRDefault="00AC1638" w:rsidP="00AC1638">
      <w:pPr>
        <w:tabs>
          <w:tab w:val="left" w:pos="851"/>
        </w:tabs>
        <w:kinsoku w:val="0"/>
        <w:overflowPunct w:val="0"/>
        <w:snapToGrid w:val="0"/>
        <w:ind w:right="-6" w:firstLineChars="400" w:firstLine="852"/>
        <w:jc w:val="left"/>
        <w:rPr>
          <w:rFonts w:asciiTheme="minorEastAsia" w:eastAsiaTheme="minorEastAsia" w:hAnsiTheme="minorEastAsia"/>
          <w:spacing w:val="-2"/>
          <w:szCs w:val="24"/>
        </w:rPr>
      </w:pPr>
      <w:r w:rsidRPr="00263B0A">
        <w:rPr>
          <w:rFonts w:asciiTheme="minorEastAsia" w:eastAsiaTheme="minorEastAsia" w:hAnsiTheme="minorEastAsia" w:hint="eastAsia"/>
          <w:spacing w:val="-2"/>
          <w:kern w:val="0"/>
          <w:szCs w:val="24"/>
        </w:rPr>
        <w:t>また、貯蔵品の状況について、たな卸検査を実施したところ適正に管理されていた。</w:t>
      </w:r>
    </w:p>
    <w:p w:rsidR="00AC1638" w:rsidRPr="007138A8" w:rsidRDefault="00AC1638" w:rsidP="00AC1638">
      <w:pPr>
        <w:kinsoku w:val="0"/>
        <w:overflowPunct w:val="0"/>
        <w:snapToGrid w:val="0"/>
        <w:jc w:val="left"/>
        <w:rPr>
          <w:rFonts w:hAnsi="ＭＳ 明朝"/>
          <w:szCs w:val="24"/>
        </w:rPr>
      </w:pPr>
    </w:p>
    <w:p w:rsidR="00AC1638" w:rsidRPr="00B568F9" w:rsidRDefault="00AC1638" w:rsidP="00AC1638">
      <w:pPr>
        <w:kinsoku w:val="0"/>
        <w:overflowPunct w:val="0"/>
        <w:snapToGrid w:val="0"/>
        <w:ind w:firstLineChars="100" w:firstLine="217"/>
        <w:jc w:val="left"/>
        <w:rPr>
          <w:rFonts w:hAnsi="ＭＳ 明朝"/>
          <w:szCs w:val="24"/>
        </w:rPr>
      </w:pPr>
      <w:r w:rsidRPr="00565C66">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Pr>
          <w:rFonts w:hAnsi="ＭＳ 明朝" w:hint="eastAsia"/>
          <w:szCs w:val="24"/>
        </w:rPr>
        <w:t>単位：千円)</w:t>
      </w:r>
    </w:p>
    <w:bookmarkStart w:id="14" w:name="_MON_1436343622"/>
    <w:bookmarkEnd w:id="14"/>
    <w:p w:rsidR="00AC1638" w:rsidRDefault="00AC1638" w:rsidP="00AC1638">
      <w:pPr>
        <w:kinsoku w:val="0"/>
        <w:overflowPunct w:val="0"/>
        <w:snapToGrid w:val="0"/>
        <w:jc w:val="left"/>
        <w:rPr>
          <w:rFonts w:asciiTheme="minorEastAsia" w:eastAsiaTheme="minorEastAsia" w:hAnsiTheme="minorEastAsia"/>
          <w:sz w:val="18"/>
          <w:szCs w:val="18"/>
        </w:rPr>
      </w:pPr>
      <w:r w:rsidRPr="005762B5">
        <w:rPr>
          <w:rFonts w:hAnsi="ＭＳ 明朝"/>
          <w:szCs w:val="24"/>
        </w:rPr>
        <w:object w:dxaOrig="8668" w:dyaOrig="2945">
          <v:shape id="_x0000_i1039" type="#_x0000_t75" style="width:482.25pt;height:176.25pt" o:ole="">
            <v:imagedata r:id="rId41" o:title=""/>
          </v:shape>
          <o:OLEObject Type="Embed" ProgID="Excel.Sheet.12" ShapeID="_x0000_i1039" DrawAspect="Content" ObjectID="_1568638581" r:id="rId42"/>
        </w:object>
      </w:r>
      <w:r>
        <w:rPr>
          <w:rFonts w:asciiTheme="minorEastAsia" w:eastAsiaTheme="minorEastAsia" w:hAnsiTheme="minorEastAsia" w:hint="eastAsia"/>
          <w:sz w:val="18"/>
          <w:szCs w:val="18"/>
        </w:rPr>
        <w:t>(注)１　 3月調定、5月納期分を含む</w:t>
      </w:r>
    </w:p>
    <w:p w:rsidR="00AC1638" w:rsidRDefault="00AC1638" w:rsidP="00AC1638">
      <w:pPr>
        <w:kinsoku w:val="0"/>
        <w:overflowPunct w:val="0"/>
        <w:snapToGrid w:val="0"/>
        <w:ind w:left="78" w:hangingChars="50" w:hanging="78"/>
        <w:jc w:val="left"/>
        <w:rPr>
          <w:rFonts w:hAnsi="ＭＳ 明朝"/>
          <w:sz w:val="18"/>
          <w:szCs w:val="18"/>
        </w:rPr>
      </w:pPr>
      <w:r>
        <w:rPr>
          <w:rFonts w:hAnsi="ＭＳ 明朝" w:hint="eastAsia"/>
          <w:sz w:val="18"/>
          <w:szCs w:val="18"/>
        </w:rPr>
        <w:t xml:space="preserve">　　 2 （　　）内は件数</w:t>
      </w:r>
    </w:p>
    <w:p w:rsidR="00AC1638" w:rsidRDefault="00AC1638" w:rsidP="00AC1638">
      <w:pPr>
        <w:ind w:firstLineChars="100" w:firstLine="257"/>
        <w:rPr>
          <w:rFonts w:hAnsi="ＭＳ 明朝"/>
          <w:spacing w:val="20"/>
          <w:szCs w:val="24"/>
        </w:rPr>
      </w:pPr>
    </w:p>
    <w:p w:rsidR="00AC1638" w:rsidRDefault="00AC1638" w:rsidP="00AC1638">
      <w:pPr>
        <w:ind w:firstLineChars="100" w:firstLine="217"/>
        <w:rPr>
          <w:rFonts w:ascii="ＭＳ ゴシック" w:eastAsia="ＭＳ ゴシック" w:hAnsi="ＭＳ ゴシック"/>
          <w:szCs w:val="24"/>
        </w:rPr>
      </w:pPr>
    </w:p>
    <w:p w:rsidR="00AC1638" w:rsidRDefault="00AC1638" w:rsidP="00AC1638">
      <w:pPr>
        <w:ind w:firstLineChars="100" w:firstLine="217"/>
        <w:rPr>
          <w:rFonts w:ascii="ＭＳ ゴシック" w:eastAsia="ＭＳ ゴシック" w:hAnsi="ＭＳ ゴシック"/>
          <w:szCs w:val="24"/>
        </w:rPr>
      </w:pPr>
    </w:p>
    <w:p w:rsidR="00AC1638" w:rsidRDefault="00AC1638" w:rsidP="00AC1638">
      <w:pPr>
        <w:rPr>
          <w:rFonts w:ascii="ＭＳ ゴシック" w:eastAsia="ＭＳ ゴシック" w:hAnsi="ＭＳ ゴシック"/>
          <w:szCs w:val="24"/>
        </w:rPr>
      </w:pPr>
    </w:p>
    <w:p w:rsidR="00AC1638" w:rsidRPr="00994BA2" w:rsidRDefault="00AC1638" w:rsidP="00AC1638">
      <w:pPr>
        <w:ind w:firstLineChars="100" w:firstLine="217"/>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994BA2">
        <w:rPr>
          <w:rFonts w:ascii="ＭＳ ゴシック" w:eastAsia="ＭＳ ゴシック" w:hAnsi="ＭＳ ゴシック" w:hint="eastAsia"/>
          <w:szCs w:val="24"/>
        </w:rPr>
        <w:t xml:space="preserve">　負債及び資本の部</w:t>
      </w:r>
    </w:p>
    <w:p w:rsidR="00AC1638" w:rsidRPr="00994BA2" w:rsidRDefault="00AC1638" w:rsidP="00AC1638">
      <w:pPr>
        <w:ind w:firstLineChars="300" w:firstLine="651"/>
        <w:rPr>
          <w:szCs w:val="24"/>
        </w:rPr>
      </w:pPr>
      <w:r w:rsidRPr="00994BA2">
        <w:rPr>
          <w:rFonts w:hint="eastAsia"/>
          <w:szCs w:val="24"/>
        </w:rPr>
        <w:t>負債及び資本の内訳は、下表のとおりである。</w:t>
      </w:r>
    </w:p>
    <w:p w:rsidR="00AC1638" w:rsidRDefault="00AC1638" w:rsidP="00AC1638">
      <w:pPr>
        <w:kinsoku w:val="0"/>
        <w:overflowPunct w:val="0"/>
        <w:snapToGrid w:val="0"/>
        <w:ind w:leftChars="100" w:left="217" w:rightChars="-131" w:right="-284"/>
        <w:jc w:val="left"/>
        <w:rPr>
          <w:rFonts w:hAnsi="ＭＳ 明朝"/>
          <w:sz w:val="22"/>
        </w:rPr>
      </w:pP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単位：千円</w:t>
      </w:r>
      <w:r>
        <w:rPr>
          <w:rFonts w:hAnsi="ＭＳ 明朝" w:hint="eastAsia"/>
          <w:szCs w:val="24"/>
        </w:rPr>
        <w:t>・％)</w:t>
      </w:r>
      <w:bookmarkStart w:id="15" w:name="_MON_1436248066"/>
      <w:bookmarkEnd w:id="15"/>
      <w:r w:rsidRPr="00094087">
        <w:rPr>
          <w:rFonts w:hAnsi="ＭＳ 明朝"/>
          <w:sz w:val="22"/>
        </w:rPr>
        <w:object w:dxaOrig="10702" w:dyaOrig="8347">
          <v:shape id="_x0000_i1040" type="#_x0000_t75" style="width:486pt;height:492pt" o:ole="" o:borderleftcolor="this">
            <v:imagedata r:id="rId43" o:title=""/>
            <o:lock v:ext="edit" aspectratio="f"/>
            <w10:borderleft type="single" width="4"/>
          </v:shape>
          <o:OLEObject Type="Embed" ProgID="Excel.Sheet.12" ShapeID="_x0000_i1040" DrawAspect="Content" ObjectID="_1568638582" r:id="rId44"/>
        </w:object>
      </w:r>
    </w:p>
    <w:p w:rsidR="00AC1638" w:rsidRPr="001D15A8" w:rsidRDefault="00AC1638" w:rsidP="00AC1638">
      <w:pPr>
        <w:kinsoku w:val="0"/>
        <w:overflowPunct w:val="0"/>
        <w:snapToGrid w:val="0"/>
        <w:ind w:firstLineChars="100" w:firstLine="197"/>
        <w:jc w:val="left"/>
        <w:rPr>
          <w:rFonts w:hAnsi="ＭＳ 明朝"/>
          <w:sz w:val="22"/>
        </w:rPr>
      </w:pPr>
    </w:p>
    <w:p w:rsidR="00AC1638" w:rsidRDefault="00AC1638" w:rsidP="00AC1638">
      <w:pPr>
        <w:kinsoku w:val="0"/>
        <w:overflowPunct w:val="0"/>
        <w:snapToGrid w:val="0"/>
        <w:ind w:firstLineChars="100" w:firstLine="197"/>
        <w:jc w:val="left"/>
        <w:rPr>
          <w:rFonts w:hAnsi="ＭＳ 明朝"/>
          <w:sz w:val="22"/>
        </w:rPr>
      </w:pPr>
    </w:p>
    <w:p w:rsidR="00AC1638" w:rsidRPr="001D15A8" w:rsidRDefault="00AC1638" w:rsidP="00AC1638">
      <w:pPr>
        <w:kinsoku w:val="0"/>
        <w:overflowPunct w:val="0"/>
        <w:snapToGrid w:val="0"/>
        <w:ind w:firstLineChars="100" w:firstLine="197"/>
        <w:jc w:val="left"/>
        <w:rPr>
          <w:rFonts w:hAnsi="ＭＳ 明朝"/>
          <w:sz w:val="22"/>
        </w:rPr>
      </w:pPr>
    </w:p>
    <w:p w:rsidR="00AC1638" w:rsidRDefault="00AC1638" w:rsidP="00AC1638">
      <w:pPr>
        <w:kinsoku w:val="0"/>
        <w:overflowPunct w:val="0"/>
        <w:snapToGrid w:val="0"/>
        <w:jc w:val="left"/>
        <w:rPr>
          <w:rFonts w:hAnsi="ＭＳ 明朝"/>
          <w:sz w:val="22"/>
        </w:rPr>
      </w:pPr>
    </w:p>
    <w:p w:rsidR="00AC1638" w:rsidRDefault="00AC1638" w:rsidP="00AC1638">
      <w:pPr>
        <w:kinsoku w:val="0"/>
        <w:overflowPunct w:val="0"/>
        <w:snapToGrid w:val="0"/>
        <w:jc w:val="left"/>
        <w:rPr>
          <w:rFonts w:hAnsi="ＭＳ 明朝"/>
          <w:sz w:val="22"/>
        </w:rPr>
      </w:pPr>
    </w:p>
    <w:p w:rsidR="00AC1638" w:rsidRDefault="00AC1638" w:rsidP="00AC1638">
      <w:pPr>
        <w:kinsoku w:val="0"/>
        <w:overflowPunct w:val="0"/>
        <w:snapToGrid w:val="0"/>
        <w:jc w:val="left"/>
        <w:rPr>
          <w:rFonts w:hAnsi="ＭＳ 明朝"/>
          <w:sz w:val="22"/>
        </w:rPr>
      </w:pPr>
    </w:p>
    <w:p w:rsidR="00AC1638" w:rsidRDefault="00AC1638" w:rsidP="00AC1638">
      <w:pPr>
        <w:kinsoku w:val="0"/>
        <w:overflowPunct w:val="0"/>
        <w:snapToGrid w:val="0"/>
        <w:jc w:val="left"/>
        <w:rPr>
          <w:rFonts w:hAnsi="ＭＳ 明朝"/>
          <w:sz w:val="22"/>
        </w:rPr>
      </w:pPr>
    </w:p>
    <w:p w:rsidR="00AC1638" w:rsidRDefault="00AC1638" w:rsidP="00AC1638">
      <w:pPr>
        <w:kinsoku w:val="0"/>
        <w:overflowPunct w:val="0"/>
        <w:snapToGrid w:val="0"/>
        <w:jc w:val="left"/>
        <w:rPr>
          <w:rFonts w:hAnsi="ＭＳ 明朝"/>
          <w:sz w:val="22"/>
        </w:rPr>
      </w:pPr>
    </w:p>
    <w:p w:rsidR="00AC1638" w:rsidRDefault="00AC1638" w:rsidP="00AC1638">
      <w:pPr>
        <w:kinsoku w:val="0"/>
        <w:overflowPunct w:val="0"/>
        <w:snapToGrid w:val="0"/>
        <w:jc w:val="left"/>
        <w:rPr>
          <w:rFonts w:hAnsi="ＭＳ 明朝"/>
          <w:sz w:val="22"/>
        </w:rPr>
      </w:pPr>
    </w:p>
    <w:p w:rsidR="00AC1638" w:rsidRDefault="00AC1638" w:rsidP="00AC1638">
      <w:pPr>
        <w:kinsoku w:val="0"/>
        <w:overflowPunct w:val="0"/>
        <w:snapToGrid w:val="0"/>
        <w:jc w:val="left"/>
        <w:rPr>
          <w:rFonts w:hAnsi="ＭＳ 明朝"/>
          <w:sz w:val="22"/>
        </w:rPr>
      </w:pPr>
    </w:p>
    <w:p w:rsidR="00AC1638" w:rsidRDefault="00AC1638" w:rsidP="00AC1638">
      <w:pPr>
        <w:kinsoku w:val="0"/>
        <w:overflowPunct w:val="0"/>
        <w:snapToGrid w:val="0"/>
        <w:ind w:firstLineChars="200" w:firstLine="434"/>
        <w:jc w:val="left"/>
        <w:rPr>
          <w:rFonts w:hAnsi="ＭＳ 明朝"/>
          <w:szCs w:val="24"/>
        </w:rPr>
      </w:pPr>
    </w:p>
    <w:p w:rsidR="00AC1638" w:rsidRPr="00994BA2" w:rsidRDefault="00AC1638" w:rsidP="00AC1638">
      <w:pPr>
        <w:kinsoku w:val="0"/>
        <w:overflowPunct w:val="0"/>
        <w:snapToGrid w:val="0"/>
        <w:ind w:firstLineChars="200" w:firstLine="434"/>
        <w:jc w:val="left"/>
        <w:rPr>
          <w:rFonts w:hAnsi="ＭＳ 明朝"/>
          <w:szCs w:val="24"/>
        </w:rPr>
      </w:pPr>
      <w:r w:rsidRPr="00994BA2">
        <w:rPr>
          <w:rFonts w:hAnsi="ＭＳ 明朝" w:hint="eastAsia"/>
          <w:szCs w:val="24"/>
        </w:rPr>
        <w:t xml:space="preserve">ア　</w:t>
      </w:r>
      <w:r>
        <w:rPr>
          <w:rFonts w:hAnsi="ＭＳ 明朝" w:hint="eastAsia"/>
          <w:kern w:val="0"/>
          <w:szCs w:val="24"/>
        </w:rPr>
        <w:t>固定負</w:t>
      </w:r>
      <w:r w:rsidRPr="00994BA2">
        <w:rPr>
          <w:rFonts w:hAnsi="ＭＳ 明朝" w:hint="eastAsia"/>
          <w:kern w:val="0"/>
          <w:szCs w:val="24"/>
        </w:rPr>
        <w:t>債</w:t>
      </w:r>
    </w:p>
    <w:p w:rsidR="00AC1638" w:rsidRPr="00994BA2" w:rsidRDefault="00AC1638" w:rsidP="00AC1638">
      <w:pPr>
        <w:adjustRightInd w:val="0"/>
        <w:snapToGrid w:val="0"/>
        <w:spacing w:line="362" w:lineRule="exact"/>
        <w:ind w:leftChars="300" w:left="651" w:right="-6" w:firstLineChars="96" w:firstLine="208"/>
        <w:rPr>
          <w:rFonts w:hAnsi="ＭＳ 明朝"/>
          <w:snapToGrid w:val="0"/>
          <w:kern w:val="0"/>
          <w:szCs w:val="24"/>
        </w:rPr>
      </w:pPr>
      <w:r w:rsidRPr="00994BA2">
        <w:rPr>
          <w:rFonts w:hAnsi="ＭＳ 明朝" w:hint="eastAsia"/>
          <w:snapToGrid w:val="0"/>
          <w:kern w:val="0"/>
          <w:szCs w:val="24"/>
        </w:rPr>
        <w:t>固定負債は</w:t>
      </w:r>
      <w:r w:rsidRPr="00812B94">
        <w:rPr>
          <w:rFonts w:hAnsi="ＭＳ 明朝" w:hint="eastAsia"/>
          <w:snapToGrid w:val="0"/>
          <w:kern w:val="0"/>
          <w:szCs w:val="24"/>
        </w:rPr>
        <w:t>7,388,019千円で、前年度に比べ278,711千円(△3.6</w:t>
      </w:r>
      <w:r>
        <w:rPr>
          <w:rFonts w:hAnsi="ＭＳ 明朝" w:hint="eastAsia"/>
          <w:snapToGrid w:val="0"/>
          <w:kern w:val="0"/>
          <w:szCs w:val="24"/>
        </w:rPr>
        <w:t>％)</w:t>
      </w:r>
      <w:r>
        <w:rPr>
          <w:rFonts w:hAnsi="ＭＳ 明朝" w:hint="eastAsia"/>
          <w:kern w:val="0"/>
          <w:szCs w:val="24"/>
        </w:rPr>
        <w:t>減少</w:t>
      </w:r>
      <w:r w:rsidRPr="00994BA2">
        <w:rPr>
          <w:rFonts w:hAnsi="ＭＳ 明朝" w:hint="eastAsia"/>
          <w:snapToGrid w:val="0"/>
          <w:kern w:val="0"/>
          <w:szCs w:val="24"/>
        </w:rPr>
        <w:t>している。</w:t>
      </w:r>
    </w:p>
    <w:p w:rsidR="00AC1638" w:rsidRDefault="00AC1638" w:rsidP="00AC1638">
      <w:pPr>
        <w:adjustRightInd w:val="0"/>
        <w:snapToGrid w:val="0"/>
        <w:spacing w:line="362" w:lineRule="exact"/>
        <w:ind w:leftChars="300" w:left="651" w:right="-6" w:firstLineChars="100" w:firstLine="217"/>
        <w:rPr>
          <w:rFonts w:hAnsi="ＭＳ 明朝"/>
          <w:snapToGrid w:val="0"/>
          <w:szCs w:val="24"/>
        </w:rPr>
      </w:pPr>
      <w:r>
        <w:rPr>
          <w:rFonts w:hAnsi="ＭＳ 明朝" w:hint="eastAsia"/>
          <w:snapToGrid w:val="0"/>
          <w:szCs w:val="24"/>
        </w:rPr>
        <w:t>これは、企業債及び引当金がそれぞれ</w:t>
      </w:r>
      <w:r w:rsidRPr="006B0455">
        <w:rPr>
          <w:rFonts w:hAnsi="ＭＳ 明朝" w:hint="eastAsia"/>
          <w:snapToGrid w:val="0"/>
          <w:szCs w:val="24"/>
        </w:rPr>
        <w:t>減少したことによるものである。</w:t>
      </w:r>
    </w:p>
    <w:p w:rsidR="00AC1638" w:rsidRPr="006B0455" w:rsidRDefault="00AC1638" w:rsidP="00AC1638">
      <w:pPr>
        <w:adjustRightInd w:val="0"/>
        <w:snapToGrid w:val="0"/>
        <w:ind w:right="1021"/>
        <w:jc w:val="left"/>
        <w:rPr>
          <w:rFonts w:hAnsi="ＭＳ 明朝"/>
          <w:spacing w:val="20"/>
          <w:szCs w:val="24"/>
        </w:rPr>
      </w:pPr>
    </w:p>
    <w:p w:rsidR="00AC1638" w:rsidRPr="00994BA2" w:rsidRDefault="00AC1638" w:rsidP="00AC1638">
      <w:pPr>
        <w:adjustRightInd w:val="0"/>
        <w:snapToGrid w:val="0"/>
        <w:spacing w:line="362" w:lineRule="exact"/>
        <w:ind w:right="1020" w:firstLineChars="200" w:firstLine="434"/>
        <w:rPr>
          <w:rFonts w:hAnsi="ＭＳ 明朝"/>
          <w:szCs w:val="24"/>
        </w:rPr>
      </w:pPr>
      <w:r w:rsidRPr="00994BA2">
        <w:rPr>
          <w:rFonts w:hAnsi="ＭＳ 明朝" w:hint="eastAsia"/>
          <w:szCs w:val="24"/>
        </w:rPr>
        <w:t>イ</w:t>
      </w:r>
      <w:r>
        <w:rPr>
          <w:rFonts w:hAnsi="ＭＳ 明朝" w:hint="eastAsia"/>
          <w:spacing w:val="11"/>
          <w:szCs w:val="24"/>
        </w:rPr>
        <w:t xml:space="preserve">　</w:t>
      </w:r>
      <w:r>
        <w:rPr>
          <w:rFonts w:hAnsi="ＭＳ 明朝" w:hint="eastAsia"/>
          <w:kern w:val="0"/>
          <w:szCs w:val="24"/>
        </w:rPr>
        <w:t>流動負</w:t>
      </w:r>
      <w:r w:rsidRPr="00994BA2">
        <w:rPr>
          <w:rFonts w:hAnsi="ＭＳ 明朝" w:hint="eastAsia"/>
          <w:kern w:val="0"/>
          <w:szCs w:val="24"/>
        </w:rPr>
        <w:t>債</w:t>
      </w:r>
    </w:p>
    <w:p w:rsidR="00AC1638" w:rsidRPr="00994BA2" w:rsidRDefault="00AC1638" w:rsidP="00AC1638">
      <w:pPr>
        <w:adjustRightInd w:val="0"/>
        <w:snapToGrid w:val="0"/>
        <w:spacing w:line="362" w:lineRule="exact"/>
        <w:ind w:right="-6" w:firstLineChars="396" w:firstLine="859"/>
        <w:rPr>
          <w:rFonts w:hAnsi="ＭＳ 明朝"/>
          <w:spacing w:val="24"/>
          <w:szCs w:val="24"/>
        </w:rPr>
      </w:pPr>
      <w:r w:rsidRPr="00994BA2">
        <w:rPr>
          <w:rFonts w:hAnsi="ＭＳ 明朝" w:hint="eastAsia"/>
          <w:kern w:val="0"/>
          <w:szCs w:val="24"/>
        </w:rPr>
        <w:t>流動負債は</w:t>
      </w:r>
      <w:r w:rsidRPr="00812B94">
        <w:rPr>
          <w:rFonts w:hAnsi="ＭＳ 明朝" w:hint="eastAsia"/>
          <w:kern w:val="0"/>
          <w:szCs w:val="24"/>
        </w:rPr>
        <w:t>914,470千円で、前年度に比べ208,517千円(29.5％)</w:t>
      </w:r>
      <w:r w:rsidRPr="00812B94">
        <w:rPr>
          <w:rFonts w:hAnsi="ＭＳ 明朝" w:hint="eastAsia"/>
          <w:snapToGrid w:val="0"/>
          <w:kern w:val="0"/>
          <w:szCs w:val="24"/>
        </w:rPr>
        <w:t xml:space="preserve"> 増加</w:t>
      </w:r>
      <w:r w:rsidRPr="00994BA2">
        <w:rPr>
          <w:rFonts w:hAnsi="ＭＳ 明朝" w:hint="eastAsia"/>
          <w:kern w:val="0"/>
          <w:szCs w:val="24"/>
        </w:rPr>
        <w:t>している。</w:t>
      </w:r>
    </w:p>
    <w:p w:rsidR="00AC1638" w:rsidRPr="006B0455" w:rsidRDefault="00AC1638" w:rsidP="00AC1638">
      <w:pPr>
        <w:adjustRightInd w:val="0"/>
        <w:snapToGrid w:val="0"/>
        <w:spacing w:line="362" w:lineRule="exact"/>
        <w:ind w:leftChars="300" w:left="651" w:right="-6" w:firstLineChars="100" w:firstLine="217"/>
        <w:rPr>
          <w:rFonts w:hAnsi="ＭＳ 明朝"/>
          <w:snapToGrid w:val="0"/>
          <w:szCs w:val="24"/>
        </w:rPr>
      </w:pPr>
      <w:r>
        <w:rPr>
          <w:rFonts w:hAnsi="ＭＳ 明朝" w:hint="eastAsia"/>
          <w:snapToGrid w:val="0"/>
          <w:szCs w:val="24"/>
        </w:rPr>
        <w:t>これは主に、未払金及び企業債</w:t>
      </w:r>
      <w:r w:rsidRPr="006B0455">
        <w:rPr>
          <w:rFonts w:hAnsi="ＭＳ 明朝" w:hint="eastAsia"/>
          <w:snapToGrid w:val="0"/>
          <w:szCs w:val="24"/>
        </w:rPr>
        <w:t>が</w:t>
      </w:r>
      <w:r>
        <w:rPr>
          <w:rFonts w:hAnsi="ＭＳ 明朝" w:hint="eastAsia"/>
          <w:snapToGrid w:val="0"/>
          <w:szCs w:val="24"/>
        </w:rPr>
        <w:t>増加</w:t>
      </w:r>
      <w:r w:rsidRPr="006B0455">
        <w:rPr>
          <w:rFonts w:hAnsi="ＭＳ 明朝" w:hint="eastAsia"/>
          <w:snapToGrid w:val="0"/>
          <w:szCs w:val="24"/>
        </w:rPr>
        <w:t>したことによるものである。</w:t>
      </w:r>
    </w:p>
    <w:p w:rsidR="00AC1638" w:rsidRDefault="00AC1638" w:rsidP="00AC1638">
      <w:pPr>
        <w:adjustRightInd w:val="0"/>
        <w:snapToGrid w:val="0"/>
        <w:spacing w:line="362" w:lineRule="exact"/>
        <w:ind w:right="1020"/>
        <w:rPr>
          <w:rFonts w:hAnsi="ＭＳ 明朝"/>
          <w:szCs w:val="24"/>
        </w:rPr>
      </w:pPr>
    </w:p>
    <w:p w:rsidR="00AC1638" w:rsidRDefault="00AC1638" w:rsidP="00AC1638">
      <w:pPr>
        <w:adjustRightInd w:val="0"/>
        <w:snapToGrid w:val="0"/>
        <w:spacing w:line="362" w:lineRule="exact"/>
        <w:ind w:right="1020"/>
        <w:rPr>
          <w:rFonts w:hAnsi="ＭＳ 明朝"/>
          <w:szCs w:val="24"/>
        </w:rPr>
      </w:pPr>
      <w:r>
        <w:rPr>
          <w:rFonts w:hAnsi="ＭＳ 明朝" w:hint="eastAsia"/>
          <w:szCs w:val="24"/>
        </w:rPr>
        <w:t xml:space="preserve">　　ウ　繰延収益</w:t>
      </w:r>
    </w:p>
    <w:p w:rsidR="00AC1638" w:rsidRPr="00812B94" w:rsidRDefault="00AC1638" w:rsidP="00AC1638">
      <w:pPr>
        <w:adjustRightInd w:val="0"/>
        <w:snapToGrid w:val="0"/>
        <w:spacing w:line="362" w:lineRule="exact"/>
        <w:ind w:left="651" w:right="-1" w:hangingChars="300" w:hanging="651"/>
        <w:rPr>
          <w:rFonts w:hAnsi="ＭＳ 明朝"/>
          <w:kern w:val="0"/>
          <w:szCs w:val="24"/>
        </w:rPr>
      </w:pPr>
      <w:r>
        <w:rPr>
          <w:rFonts w:hAnsi="ＭＳ 明朝" w:hint="eastAsia"/>
          <w:szCs w:val="24"/>
        </w:rPr>
        <w:t xml:space="preserve">　　　　</w:t>
      </w:r>
      <w:r>
        <w:rPr>
          <w:rFonts w:hAnsi="ＭＳ 明朝" w:hint="eastAsia"/>
          <w:kern w:val="0"/>
          <w:szCs w:val="24"/>
        </w:rPr>
        <w:t>繰延収益は</w:t>
      </w:r>
      <w:r w:rsidRPr="00812B94">
        <w:rPr>
          <w:rFonts w:hAnsi="ＭＳ 明朝" w:hint="eastAsia"/>
          <w:kern w:val="0"/>
          <w:szCs w:val="24"/>
        </w:rPr>
        <w:t>6,506,776千円で、前年度に比べ181,581千円（△2.7％）減少している。</w:t>
      </w:r>
    </w:p>
    <w:p w:rsidR="00AC1638" w:rsidRPr="00812B94" w:rsidRDefault="00AC1638" w:rsidP="00AC1638">
      <w:pPr>
        <w:adjustRightInd w:val="0"/>
        <w:snapToGrid w:val="0"/>
        <w:spacing w:line="362" w:lineRule="exact"/>
        <w:ind w:right="-1" w:firstLineChars="400" w:firstLine="868"/>
        <w:rPr>
          <w:rFonts w:hAnsi="ＭＳ 明朝"/>
          <w:szCs w:val="24"/>
        </w:rPr>
      </w:pPr>
    </w:p>
    <w:p w:rsidR="00AC1638" w:rsidRPr="00994BA2" w:rsidRDefault="00AC1638" w:rsidP="00AC1638">
      <w:pPr>
        <w:adjustRightInd w:val="0"/>
        <w:snapToGrid w:val="0"/>
        <w:spacing w:line="362" w:lineRule="exact"/>
        <w:ind w:right="1020" w:firstLineChars="200" w:firstLine="434"/>
        <w:rPr>
          <w:rFonts w:hAnsi="ＭＳ 明朝"/>
          <w:szCs w:val="24"/>
        </w:rPr>
      </w:pPr>
      <w:r w:rsidRPr="00812B94">
        <w:rPr>
          <w:rFonts w:hAnsi="ＭＳ 明朝" w:hint="eastAsia"/>
          <w:szCs w:val="24"/>
        </w:rPr>
        <w:t xml:space="preserve">エ　</w:t>
      </w:r>
      <w:r w:rsidRPr="00812B94">
        <w:rPr>
          <w:rFonts w:hAnsi="ＭＳ 明朝" w:hint="eastAsia"/>
          <w:kern w:val="0"/>
          <w:szCs w:val="24"/>
        </w:rPr>
        <w:t>資本金</w:t>
      </w:r>
    </w:p>
    <w:p w:rsidR="00AC1638" w:rsidRPr="00A859A2" w:rsidRDefault="00AC1638" w:rsidP="00AC1638">
      <w:pPr>
        <w:adjustRightInd w:val="0"/>
        <w:snapToGrid w:val="0"/>
        <w:spacing w:line="362" w:lineRule="exact"/>
        <w:ind w:leftChars="130" w:left="282" w:right="-3" w:firstLineChars="265" w:firstLine="575"/>
        <w:rPr>
          <w:rFonts w:hAnsi="ＭＳ 明朝"/>
          <w:snapToGrid w:val="0"/>
          <w:szCs w:val="24"/>
        </w:rPr>
      </w:pPr>
      <w:r w:rsidRPr="00A859A2">
        <w:rPr>
          <w:rFonts w:hAnsi="ＭＳ 明朝" w:hint="eastAsia"/>
          <w:snapToGrid w:val="0"/>
          <w:szCs w:val="24"/>
        </w:rPr>
        <w:t>資本金は</w:t>
      </w:r>
      <w:r w:rsidRPr="00812B94">
        <w:rPr>
          <w:rFonts w:hAnsi="ＭＳ 明朝" w:hint="eastAsia"/>
          <w:snapToGrid w:val="0"/>
          <w:szCs w:val="24"/>
        </w:rPr>
        <w:t>10,784,845千円で、前年度に比べ295,100千円(2.8％)増加している。</w:t>
      </w:r>
    </w:p>
    <w:p w:rsidR="00AC1638" w:rsidRPr="00994BA2" w:rsidRDefault="00AC1638" w:rsidP="00AC1638">
      <w:pPr>
        <w:adjustRightInd w:val="0"/>
        <w:snapToGrid w:val="0"/>
        <w:spacing w:line="362" w:lineRule="exact"/>
        <w:ind w:right="1020"/>
        <w:rPr>
          <w:rFonts w:hAnsi="ＭＳ 明朝"/>
          <w:szCs w:val="24"/>
        </w:rPr>
      </w:pPr>
    </w:p>
    <w:p w:rsidR="00AC1638" w:rsidRPr="00A859A2" w:rsidRDefault="00AC1638" w:rsidP="00AC1638">
      <w:pPr>
        <w:adjustRightInd w:val="0"/>
        <w:snapToGrid w:val="0"/>
        <w:spacing w:line="362" w:lineRule="exact"/>
        <w:ind w:right="1020" w:firstLineChars="200" w:firstLine="434"/>
        <w:rPr>
          <w:rFonts w:hAnsi="ＭＳ 明朝"/>
          <w:szCs w:val="24"/>
        </w:rPr>
      </w:pPr>
      <w:r>
        <w:rPr>
          <w:rFonts w:hAnsi="ＭＳ 明朝" w:hint="eastAsia"/>
          <w:szCs w:val="24"/>
        </w:rPr>
        <w:t xml:space="preserve">オ　</w:t>
      </w:r>
      <w:r>
        <w:rPr>
          <w:rFonts w:hAnsi="ＭＳ 明朝" w:hint="eastAsia"/>
          <w:kern w:val="0"/>
          <w:szCs w:val="24"/>
        </w:rPr>
        <w:t>剰余</w:t>
      </w:r>
      <w:r w:rsidRPr="00A859A2">
        <w:rPr>
          <w:rFonts w:hAnsi="ＭＳ 明朝" w:hint="eastAsia"/>
          <w:kern w:val="0"/>
          <w:szCs w:val="24"/>
        </w:rPr>
        <w:t>金</w:t>
      </w:r>
    </w:p>
    <w:p w:rsidR="00AC1638" w:rsidRDefault="00AC1638" w:rsidP="00AC1638">
      <w:pPr>
        <w:tabs>
          <w:tab w:val="left" w:pos="10541"/>
        </w:tabs>
        <w:adjustRightInd w:val="0"/>
        <w:snapToGrid w:val="0"/>
        <w:spacing w:line="362" w:lineRule="exact"/>
        <w:ind w:leftChars="300" w:left="651" w:right="-3" w:firstLineChars="92" w:firstLine="200"/>
        <w:jc w:val="left"/>
        <w:rPr>
          <w:rFonts w:hAnsi="ＭＳ 明朝"/>
          <w:snapToGrid w:val="0"/>
          <w:szCs w:val="24"/>
        </w:rPr>
      </w:pPr>
      <w:r w:rsidRPr="00481445">
        <w:rPr>
          <w:rFonts w:hAnsi="ＭＳ 明朝" w:hint="eastAsia"/>
          <w:snapToGrid w:val="0"/>
          <w:szCs w:val="24"/>
        </w:rPr>
        <w:t>剰余金は</w:t>
      </w:r>
      <w:r w:rsidRPr="00812B94">
        <w:rPr>
          <w:rFonts w:hAnsi="ＭＳ 明朝" w:hint="eastAsia"/>
          <w:snapToGrid w:val="0"/>
          <w:szCs w:val="24"/>
        </w:rPr>
        <w:t>1,276,567千円で、前年度に比べ405,255千円(46.5％)増加している。</w:t>
      </w:r>
    </w:p>
    <w:p w:rsidR="00AC1638" w:rsidRPr="008270AB" w:rsidRDefault="00AC1638" w:rsidP="00AC1638">
      <w:pPr>
        <w:tabs>
          <w:tab w:val="left" w:pos="10541"/>
        </w:tabs>
        <w:adjustRightInd w:val="0"/>
        <w:snapToGrid w:val="0"/>
        <w:spacing w:line="362" w:lineRule="exact"/>
        <w:ind w:leftChars="300" w:left="651" w:right="-3" w:firstLineChars="92" w:firstLine="200"/>
        <w:jc w:val="left"/>
        <w:rPr>
          <w:rFonts w:hAnsi="ＭＳ 明朝"/>
          <w:snapToGrid w:val="0"/>
          <w:szCs w:val="24"/>
        </w:rPr>
      </w:pPr>
      <w:r w:rsidRPr="00966E67">
        <w:rPr>
          <w:rFonts w:hAnsi="ＭＳ 明朝" w:hint="eastAsia"/>
          <w:snapToGrid w:val="0"/>
          <w:szCs w:val="24"/>
        </w:rPr>
        <w:t>これは主に</w:t>
      </w:r>
      <w:r>
        <w:rPr>
          <w:rFonts w:hAnsi="ＭＳ 明朝" w:hint="eastAsia"/>
          <w:snapToGrid w:val="0"/>
          <w:szCs w:val="24"/>
        </w:rPr>
        <w:t>、</w:t>
      </w:r>
      <w:r w:rsidRPr="00966E67">
        <w:rPr>
          <w:rFonts w:hAnsi="ＭＳ 明朝" w:hint="eastAsia"/>
          <w:snapToGrid w:val="0"/>
          <w:szCs w:val="24"/>
        </w:rPr>
        <w:t>当年度未処分利益剰余金が増加したことによるものである。</w:t>
      </w:r>
    </w:p>
    <w:p w:rsidR="00AC1638" w:rsidRPr="008270AB" w:rsidRDefault="00AC1638" w:rsidP="00AC1638">
      <w:pPr>
        <w:kinsoku w:val="0"/>
        <w:overflowPunct w:val="0"/>
        <w:snapToGrid w:val="0"/>
        <w:spacing w:line="340" w:lineRule="exact"/>
        <w:ind w:rightChars="110" w:right="239"/>
        <w:rPr>
          <w:rFonts w:hAnsi="ＭＳ 明朝"/>
          <w:szCs w:val="24"/>
        </w:rPr>
      </w:pPr>
    </w:p>
    <w:p w:rsidR="00AC1638" w:rsidRDefault="00AC1638" w:rsidP="00AC1638">
      <w:pPr>
        <w:rPr>
          <w:rFonts w:ascii="ＭＳ ゴシック" w:eastAsia="ＭＳ ゴシック" w:hAnsi="ＭＳ ゴシック"/>
          <w:szCs w:val="24"/>
        </w:rPr>
      </w:pPr>
      <w:r>
        <w:rPr>
          <w:rFonts w:ascii="ＭＳ ゴシック" w:eastAsia="ＭＳ ゴシック" w:hAnsi="ＭＳ ゴシック" w:hint="eastAsia"/>
          <w:szCs w:val="24"/>
        </w:rPr>
        <w:t>５</w:t>
      </w:r>
      <w:r w:rsidRPr="0048441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他会計負担金等の</w:t>
      </w:r>
      <w:r w:rsidRPr="00484416">
        <w:rPr>
          <w:rFonts w:ascii="ＭＳ ゴシック" w:eastAsia="ＭＳ ゴシック" w:hAnsi="ＭＳ ゴシック" w:hint="eastAsia"/>
          <w:szCs w:val="24"/>
        </w:rPr>
        <w:t>状況</w:t>
      </w:r>
    </w:p>
    <w:p w:rsidR="00AC1638" w:rsidRPr="00FD0439" w:rsidRDefault="00AC1638" w:rsidP="00AC1638">
      <w:pPr>
        <w:kinsoku w:val="0"/>
        <w:overflowPunct w:val="0"/>
        <w:snapToGrid w:val="0"/>
        <w:ind w:firstLineChars="200" w:firstLine="434"/>
        <w:jc w:val="left"/>
        <w:rPr>
          <w:rFonts w:hAnsi="ＭＳ 明朝"/>
          <w:szCs w:val="24"/>
        </w:rPr>
      </w:pPr>
      <w:r w:rsidRPr="00FD0439">
        <w:rPr>
          <w:rFonts w:hAnsi="ＭＳ 明朝" w:hint="eastAsia"/>
          <w:szCs w:val="24"/>
        </w:rPr>
        <w:t>一般会計</w:t>
      </w:r>
      <w:r>
        <w:rPr>
          <w:rFonts w:hAnsi="ＭＳ 明朝" w:hint="eastAsia"/>
          <w:szCs w:val="24"/>
        </w:rPr>
        <w:t>からの負担金、出資金等については下表の</w:t>
      </w:r>
      <w:r w:rsidRPr="00FD0439">
        <w:rPr>
          <w:rFonts w:hAnsi="ＭＳ 明朝" w:hint="eastAsia"/>
          <w:szCs w:val="24"/>
        </w:rPr>
        <w:t>とおりである。</w:t>
      </w:r>
    </w:p>
    <w:p w:rsidR="00AC1638" w:rsidRDefault="00AC1638" w:rsidP="00AC1638">
      <w:pPr>
        <w:ind w:firstLineChars="3500" w:firstLine="7592"/>
        <w:rPr>
          <w:rFonts w:hAnsi="ＭＳ 明朝"/>
          <w:szCs w:val="24"/>
        </w:rPr>
      </w:pPr>
      <w:r w:rsidRPr="00484416">
        <w:rPr>
          <w:rFonts w:hAnsi="ＭＳ 明朝" w:hint="eastAsia"/>
          <w:szCs w:val="24"/>
        </w:rPr>
        <w:t>（単位：千円・％）</w:t>
      </w:r>
      <w:r>
        <w:rPr>
          <w:rFonts w:ascii="ＭＳ ゴシック" w:eastAsia="ＭＳ ゴシック" w:hAnsi="ＭＳ ゴシック" w:hint="eastAsia"/>
          <w:szCs w:val="24"/>
        </w:rPr>
        <w:t xml:space="preserve">　</w:t>
      </w:r>
      <w:bookmarkStart w:id="16" w:name="_MON_1527945470"/>
      <w:bookmarkEnd w:id="16"/>
      <w:r w:rsidRPr="00D23CF8">
        <w:rPr>
          <w:rFonts w:hAnsi="ＭＳ 明朝"/>
          <w:szCs w:val="24"/>
        </w:rPr>
        <w:object w:dxaOrig="7870" w:dyaOrig="3212">
          <v:shape id="_x0000_i1041" type="#_x0000_t75" style="width:468pt;height:166.5pt" o:ole="">
            <v:imagedata r:id="rId45" o:title=""/>
          </v:shape>
          <o:OLEObject Type="Embed" ProgID="Excel.Sheet.12" ShapeID="_x0000_i1041" DrawAspect="Content" ObjectID="_1568638583" r:id="rId46"/>
        </w:object>
      </w:r>
    </w:p>
    <w:p w:rsidR="00AC1638" w:rsidRDefault="00AC1638" w:rsidP="00AC1638">
      <w:pPr>
        <w:kinsoku w:val="0"/>
        <w:overflowPunct w:val="0"/>
        <w:snapToGrid w:val="0"/>
        <w:jc w:val="left"/>
        <w:rPr>
          <w:rFonts w:hAnsi="ＭＳ 明朝"/>
          <w:szCs w:val="24"/>
        </w:rPr>
      </w:pPr>
      <w:r>
        <w:rPr>
          <w:rFonts w:hAnsi="ＭＳ 明朝" w:hint="eastAsia"/>
          <w:szCs w:val="24"/>
        </w:rPr>
        <w:t xml:space="preserve">　　</w:t>
      </w:r>
    </w:p>
    <w:p w:rsidR="00AC1638" w:rsidRPr="00712E56" w:rsidRDefault="00AC1638" w:rsidP="00AC1638">
      <w:pPr>
        <w:kinsoku w:val="0"/>
        <w:overflowPunct w:val="0"/>
        <w:snapToGrid w:val="0"/>
        <w:ind w:firstLineChars="200" w:firstLine="434"/>
        <w:jc w:val="left"/>
        <w:rPr>
          <w:rFonts w:hAnsi="ＭＳ 明朝"/>
          <w:szCs w:val="24"/>
        </w:rPr>
      </w:pPr>
      <w:r>
        <w:rPr>
          <w:rFonts w:hAnsi="ＭＳ 明朝" w:hint="eastAsia"/>
          <w:szCs w:val="24"/>
        </w:rPr>
        <w:t>他会計負担金等は</w:t>
      </w:r>
      <w:r w:rsidRPr="00712E56">
        <w:rPr>
          <w:rFonts w:hAnsi="ＭＳ 明朝" w:hint="eastAsia"/>
          <w:szCs w:val="24"/>
        </w:rPr>
        <w:t>35,552千円で、前年度に比べ3,707千円（△9.4</w:t>
      </w:r>
      <w:r>
        <w:rPr>
          <w:rFonts w:hAnsi="ＭＳ 明朝" w:hint="eastAsia"/>
          <w:szCs w:val="24"/>
        </w:rPr>
        <w:t>％</w:t>
      </w:r>
      <w:r w:rsidRPr="00712E56">
        <w:rPr>
          <w:rFonts w:hAnsi="ＭＳ 明朝" w:hint="eastAsia"/>
          <w:szCs w:val="24"/>
        </w:rPr>
        <w:t>）減少している。</w:t>
      </w:r>
    </w:p>
    <w:p w:rsidR="00AC1638" w:rsidRPr="00641D54" w:rsidRDefault="00AC1638" w:rsidP="00AC1638">
      <w:pPr>
        <w:kinsoku w:val="0"/>
        <w:overflowPunct w:val="0"/>
        <w:snapToGrid w:val="0"/>
        <w:ind w:leftChars="100" w:left="217" w:firstLineChars="100" w:firstLine="217"/>
        <w:jc w:val="left"/>
        <w:rPr>
          <w:rFonts w:hAnsi="ＭＳ 明朝"/>
          <w:szCs w:val="24"/>
        </w:rPr>
      </w:pPr>
      <w:r w:rsidRPr="00712E56">
        <w:rPr>
          <w:rFonts w:hAnsi="ＭＳ 明朝" w:hint="eastAsia"/>
          <w:szCs w:val="24"/>
        </w:rPr>
        <w:t>このうち収益的収入は12,364千円で、995千円（△7.4</w:t>
      </w:r>
      <w:r>
        <w:rPr>
          <w:rFonts w:hAnsi="ＭＳ 明朝" w:hint="eastAsia"/>
          <w:szCs w:val="24"/>
        </w:rPr>
        <w:t>％</w:t>
      </w:r>
      <w:r w:rsidRPr="00712E56">
        <w:rPr>
          <w:rFonts w:hAnsi="ＭＳ 明朝" w:hint="eastAsia"/>
          <w:szCs w:val="24"/>
        </w:rPr>
        <w:t>）、資本的収入は23,188千円で2,712千円（△10.5</w:t>
      </w:r>
      <w:r>
        <w:rPr>
          <w:rFonts w:hAnsi="ＭＳ 明朝" w:hint="eastAsia"/>
          <w:szCs w:val="24"/>
        </w:rPr>
        <w:t>％</w:t>
      </w:r>
      <w:r w:rsidRPr="00712E56">
        <w:rPr>
          <w:rFonts w:hAnsi="ＭＳ 明朝" w:hint="eastAsia"/>
          <w:szCs w:val="24"/>
        </w:rPr>
        <w:t>）とそれぞれ減少している。</w:t>
      </w:r>
    </w:p>
    <w:p w:rsidR="00AC1638" w:rsidRPr="00D56882" w:rsidRDefault="00AC1638" w:rsidP="00AC1638">
      <w:pPr>
        <w:rPr>
          <w:rFonts w:ascii="ＭＳ ゴシック" w:eastAsia="ＭＳ ゴシック" w:hAnsi="ＭＳ ゴシック"/>
          <w:szCs w:val="24"/>
        </w:rPr>
      </w:pPr>
    </w:p>
    <w:p w:rsidR="00AC1638" w:rsidRDefault="00AC1638" w:rsidP="00AC1638">
      <w:pPr>
        <w:kinsoku w:val="0"/>
        <w:overflowPunct w:val="0"/>
        <w:snapToGrid w:val="0"/>
        <w:spacing w:line="340" w:lineRule="exact"/>
        <w:ind w:rightChars="110" w:right="239"/>
        <w:rPr>
          <w:rFonts w:hAnsi="ＭＳ 明朝"/>
          <w:szCs w:val="24"/>
        </w:rPr>
      </w:pPr>
    </w:p>
    <w:p w:rsidR="006946CA" w:rsidRDefault="006946CA" w:rsidP="005820BF">
      <w:pPr>
        <w:jc w:val="left"/>
        <w:rPr>
          <w:rFonts w:ascii="ＭＳ ゴシック" w:eastAsia="ＭＳ ゴシック" w:hAnsi="ＭＳ ゴシック"/>
          <w:sz w:val="22"/>
        </w:rPr>
        <w:sectPr w:rsidR="006946CA" w:rsidSect="00306545">
          <w:pgSz w:w="11906" w:h="16838" w:code="9"/>
          <w:pgMar w:top="1134" w:right="1134" w:bottom="1134" w:left="1134" w:header="851" w:footer="510" w:gutter="0"/>
          <w:pgNumType w:fmt="numberInDash"/>
          <w:cols w:space="425"/>
          <w:docGrid w:type="linesAndChars" w:linePitch="331" w:charSpace="-4729"/>
        </w:sectPr>
      </w:pPr>
    </w:p>
    <w:p w:rsidR="006946CA" w:rsidRDefault="00306545" w:rsidP="005820BF">
      <w:pPr>
        <w:jc w:val="left"/>
        <w:rPr>
          <w:rFonts w:ascii="ＭＳ ゴシック" w:eastAsia="ＭＳ ゴシック" w:hAnsi="ＭＳ ゴシック"/>
          <w:sz w:val="22"/>
        </w:rPr>
        <w:sectPr w:rsidR="006946CA" w:rsidSect="00306545">
          <w:pgSz w:w="11906" w:h="16838" w:code="9"/>
          <w:pgMar w:top="1134" w:right="1134" w:bottom="1134" w:left="1134" w:header="851" w:footer="510" w:gutter="0"/>
          <w:pgNumType w:fmt="numberInDash"/>
          <w:cols w:space="425"/>
          <w:docGrid w:type="linesAndChars" w:linePitch="331" w:charSpace="-4729"/>
        </w:sectPr>
      </w:pPr>
      <w:r>
        <w:rPr>
          <w:rFonts w:ascii="ＭＳ ゴシック" w:eastAsia="ＭＳ ゴシック" w:hAnsi="ＭＳ ゴシック"/>
          <w:sz w:val="22"/>
        </w:rPr>
        <w:object w:dxaOrig="11902" w:dyaOrig="17160">
          <v:shape id="_x0000_i1042" type="#_x0000_t75" style="width:488.25pt;height:704.25pt;mso-position-vertical:absolute" o:ole="">
            <v:imagedata r:id="rId47" o:title=""/>
          </v:shape>
          <o:OLEObject Type="Embed" ProgID="Excel.Sheet.8" ShapeID="_x0000_i1042" DrawAspect="Content" ObjectID="_1568638584" r:id="rId48"/>
        </w:object>
      </w:r>
    </w:p>
    <w:p w:rsidR="006946CA" w:rsidRDefault="006946CA" w:rsidP="006946CA">
      <w:pPr>
        <w:kinsoku w:val="0"/>
        <w:overflowPunct w:val="0"/>
        <w:snapToGrid w:val="0"/>
        <w:spacing w:line="362" w:lineRule="exact"/>
        <w:jc w:val="left"/>
        <w:rPr>
          <w:rFonts w:ascii="ＭＳ ゴシック" w:eastAsia="ＭＳ ゴシック" w:hAnsi="ＭＳ ゴシック"/>
          <w:szCs w:val="24"/>
        </w:rPr>
      </w:pPr>
      <w:r>
        <w:rPr>
          <w:rFonts w:ascii="ＭＳ ゴシック" w:eastAsia="ＭＳ ゴシック" w:hAnsi="ＭＳ ゴシック" w:hint="eastAsia"/>
          <w:szCs w:val="24"/>
        </w:rPr>
        <w:t>７</w:t>
      </w:r>
      <w:r w:rsidRPr="00550D4B">
        <w:rPr>
          <w:rFonts w:ascii="ＭＳ ゴシック" w:eastAsia="ＭＳ ゴシック" w:hAnsi="ＭＳ ゴシック" w:hint="eastAsia"/>
          <w:szCs w:val="24"/>
        </w:rPr>
        <w:t xml:space="preserve">　経営分析</w:t>
      </w:r>
    </w:p>
    <w:p w:rsidR="006946CA" w:rsidRPr="00550D4B" w:rsidRDefault="006946CA" w:rsidP="006946CA">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2"/>
        <w:gridCol w:w="1282"/>
        <w:gridCol w:w="284"/>
        <w:gridCol w:w="709"/>
        <w:gridCol w:w="708"/>
        <w:gridCol w:w="709"/>
        <w:gridCol w:w="992"/>
        <w:gridCol w:w="284"/>
        <w:gridCol w:w="236"/>
        <w:gridCol w:w="3160"/>
        <w:gridCol w:w="142"/>
        <w:gridCol w:w="142"/>
        <w:gridCol w:w="141"/>
        <w:gridCol w:w="568"/>
      </w:tblGrid>
      <w:tr w:rsidR="006946CA" w:rsidRPr="005724A0" w:rsidTr="006946CA">
        <w:trPr>
          <w:trHeight w:val="850"/>
        </w:trPr>
        <w:tc>
          <w:tcPr>
            <w:tcW w:w="1849" w:type="dxa"/>
            <w:gridSpan w:val="3"/>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分　析　項　目</w:t>
            </w:r>
          </w:p>
        </w:tc>
        <w:tc>
          <w:tcPr>
            <w:tcW w:w="709" w:type="dxa"/>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8</w:t>
            </w:r>
            <w:r w:rsidRPr="0049262F">
              <w:rPr>
                <w:rFonts w:hAnsi="ＭＳ 明朝" w:hint="eastAsia"/>
                <w:sz w:val="18"/>
                <w:szCs w:val="18"/>
              </w:rPr>
              <w:t>年度</w:t>
            </w:r>
          </w:p>
        </w:tc>
        <w:tc>
          <w:tcPr>
            <w:tcW w:w="708" w:type="dxa"/>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7</w:t>
            </w:r>
            <w:r w:rsidRPr="0049262F">
              <w:rPr>
                <w:rFonts w:hAnsi="ＭＳ 明朝" w:hint="eastAsia"/>
                <w:sz w:val="18"/>
                <w:szCs w:val="18"/>
              </w:rPr>
              <w:t>年度</w:t>
            </w:r>
          </w:p>
        </w:tc>
        <w:tc>
          <w:tcPr>
            <w:tcW w:w="709" w:type="dxa"/>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6</w:t>
            </w:r>
            <w:r w:rsidRPr="0049262F">
              <w:rPr>
                <w:rFonts w:hAnsi="ＭＳ 明朝" w:hint="eastAsia"/>
                <w:sz w:val="18"/>
                <w:szCs w:val="18"/>
              </w:rPr>
              <w:t>年度</w:t>
            </w:r>
          </w:p>
        </w:tc>
        <w:tc>
          <w:tcPr>
            <w:tcW w:w="992" w:type="dxa"/>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w:t>
            </w:r>
            <w:r w:rsidRPr="00CC3353">
              <w:rPr>
                <w:rFonts w:hAnsi="ＭＳ 明朝" w:hint="eastAsia"/>
                <w:sz w:val="18"/>
                <w:szCs w:val="18"/>
              </w:rPr>
              <w:t>27</w:t>
            </w:r>
            <w:r w:rsidRPr="0049262F">
              <w:rPr>
                <w:rFonts w:hAnsi="ＭＳ 明朝" w:hint="eastAsia"/>
                <w:sz w:val="18"/>
                <w:szCs w:val="18"/>
              </w:rPr>
              <w:t>年度</w:t>
            </w:r>
            <w:r>
              <w:rPr>
                <w:rFonts w:hAnsi="ＭＳ 明朝" w:hint="eastAsia"/>
                <w:sz w:val="18"/>
                <w:szCs w:val="18"/>
              </w:rPr>
              <w:t>)</w:t>
            </w:r>
          </w:p>
        </w:tc>
        <w:tc>
          <w:tcPr>
            <w:tcW w:w="4672" w:type="dxa"/>
            <w:gridSpan w:val="7"/>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算　　　　　式</w:t>
            </w:r>
          </w:p>
        </w:tc>
      </w:tr>
      <w:tr w:rsidR="006946CA" w:rsidRPr="005724A0" w:rsidTr="006946CA">
        <w:trPr>
          <w:cantSplit/>
          <w:trHeight w:val="283"/>
        </w:trPr>
        <w:tc>
          <w:tcPr>
            <w:tcW w:w="283"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Pr>
                <w:rFonts w:hAnsi="ＭＳ 明朝" w:hint="eastAsia"/>
                <w:sz w:val="18"/>
                <w:szCs w:val="18"/>
              </w:rPr>
              <w:t xml:space="preserve">　</w:t>
            </w:r>
            <w:r w:rsidRPr="0049262F">
              <w:rPr>
                <w:rFonts w:hAnsi="ＭＳ 明朝" w:hint="eastAsia"/>
                <w:sz w:val="18"/>
                <w:szCs w:val="18"/>
              </w:rPr>
              <w:t>構　成　比　率</w:t>
            </w:r>
          </w:p>
        </w:tc>
        <w:tc>
          <w:tcPr>
            <w:tcW w:w="1282" w:type="dxa"/>
            <w:vMerge w:val="restart"/>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固定資産</w:t>
            </w:r>
          </w:p>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構成比率</w:t>
            </w:r>
          </w:p>
        </w:tc>
        <w:tc>
          <w:tcPr>
            <w:tcW w:w="284"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92.</w:t>
            </w:r>
            <w:r>
              <w:rPr>
                <w:rFonts w:hAnsi="ＭＳ 明朝" w:hint="eastAsia"/>
                <w:sz w:val="18"/>
                <w:szCs w:val="18"/>
              </w:rPr>
              <w:t>1</w:t>
            </w:r>
          </w:p>
        </w:tc>
        <w:tc>
          <w:tcPr>
            <w:tcW w:w="708"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92.2</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91.7</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87.0</w:t>
            </w:r>
          </w:p>
        </w:tc>
        <w:tc>
          <w:tcPr>
            <w:tcW w:w="284" w:type="dxa"/>
            <w:vMerge w:val="restart"/>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×100</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固定資産＋流動資産＋繰延</w:t>
            </w:r>
            <w:r>
              <w:rPr>
                <w:rFonts w:hAnsi="ＭＳ 明朝" w:hint="eastAsia"/>
                <w:sz w:val="18"/>
                <w:szCs w:val="18"/>
              </w:rPr>
              <w:t>資産</w:t>
            </w:r>
          </w:p>
        </w:tc>
        <w:tc>
          <w:tcPr>
            <w:tcW w:w="709" w:type="dxa"/>
            <w:gridSpan w:val="2"/>
            <w:vMerge/>
            <w:tcBorders>
              <w:left w:val="nil"/>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340"/>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790" w:type="dxa"/>
            <w:gridSpan w:val="11"/>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総資産の固定化の度合いを表すもので、比率の低い方が望ましい。</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restart"/>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固定負債</w:t>
            </w:r>
          </w:p>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構成比率</w:t>
            </w:r>
          </w:p>
        </w:tc>
        <w:tc>
          <w:tcPr>
            <w:tcW w:w="284"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27.5</w:t>
            </w:r>
          </w:p>
        </w:tc>
        <w:tc>
          <w:tcPr>
            <w:tcW w:w="708"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29.0</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30.1</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23.7</w:t>
            </w:r>
          </w:p>
        </w:tc>
        <w:tc>
          <w:tcPr>
            <w:tcW w:w="284" w:type="dxa"/>
            <w:vMerge w:val="restart"/>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固</w:t>
            </w:r>
            <w:r>
              <w:rPr>
                <w:rFonts w:hAnsi="ＭＳ 明朝" w:hint="eastAsia"/>
                <w:sz w:val="18"/>
                <w:szCs w:val="18"/>
              </w:rPr>
              <w:t xml:space="preserve">　</w:t>
            </w:r>
            <w:r w:rsidRPr="0049262F">
              <w:rPr>
                <w:rFonts w:hAnsi="ＭＳ 明朝" w:hint="eastAsia"/>
                <w:sz w:val="18"/>
                <w:szCs w:val="18"/>
              </w:rPr>
              <w:t>定</w:t>
            </w:r>
            <w:r>
              <w:rPr>
                <w:rFonts w:hAnsi="ＭＳ 明朝" w:hint="eastAsia"/>
                <w:sz w:val="18"/>
                <w:szCs w:val="18"/>
              </w:rPr>
              <w:t xml:space="preserve">　</w:t>
            </w:r>
            <w:r w:rsidRPr="0049262F">
              <w:rPr>
                <w:rFonts w:hAnsi="ＭＳ 明朝" w:hint="eastAsia"/>
                <w:sz w:val="18"/>
                <w:szCs w:val="18"/>
              </w:rPr>
              <w:t>負</w:t>
            </w:r>
            <w:r>
              <w:rPr>
                <w:rFonts w:hAnsi="ＭＳ 明朝" w:hint="eastAsia"/>
                <w:sz w:val="18"/>
                <w:szCs w:val="18"/>
              </w:rPr>
              <w:t xml:space="preserve">　</w:t>
            </w:r>
            <w:r w:rsidRPr="0049262F">
              <w:rPr>
                <w:rFonts w:hAnsi="ＭＳ 明朝" w:hint="eastAsia"/>
                <w:sz w:val="18"/>
                <w:szCs w:val="18"/>
              </w:rPr>
              <w:t>債</w:t>
            </w:r>
          </w:p>
        </w:tc>
        <w:tc>
          <w:tcPr>
            <w:tcW w:w="709" w:type="dxa"/>
            <w:gridSpan w:val="2"/>
            <w:vMerge w:val="restart"/>
            <w:tcBorders>
              <w:left w:val="nil"/>
            </w:tcBorders>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×100</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09" w:type="dxa"/>
            <w:gridSpan w:val="2"/>
            <w:vMerge/>
            <w:tcBorders>
              <w:left w:val="nil"/>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340"/>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790" w:type="dxa"/>
            <w:gridSpan w:val="11"/>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固定負債と総資本との割合を表すもので、比率の低い方が望ましい。</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restart"/>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自己資本</w:t>
            </w:r>
          </w:p>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構成比率</w:t>
            </w:r>
          </w:p>
        </w:tc>
        <w:tc>
          <w:tcPr>
            <w:tcW w:w="284"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69.1</w:t>
            </w:r>
          </w:p>
        </w:tc>
        <w:tc>
          <w:tcPr>
            <w:tcW w:w="708"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68.3</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66.7</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72.6</w:t>
            </w:r>
          </w:p>
        </w:tc>
        <w:tc>
          <w:tcPr>
            <w:tcW w:w="284" w:type="dxa"/>
            <w:vMerge w:val="restart"/>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6946CA" w:rsidRPr="00F17B27" w:rsidRDefault="006946CA" w:rsidP="006946CA">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09" w:type="dxa"/>
            <w:gridSpan w:val="2"/>
            <w:vMerge w:val="restart"/>
            <w:tcBorders>
              <w:left w:val="nil"/>
            </w:tcBorders>
            <w:vAlign w:val="center"/>
          </w:tcPr>
          <w:p w:rsidR="006946CA" w:rsidRPr="00496429" w:rsidRDefault="006946CA" w:rsidP="006946CA">
            <w:pPr>
              <w:kinsoku w:val="0"/>
              <w:overflowPunct w:val="0"/>
              <w:snapToGrid w:val="0"/>
              <w:rPr>
                <w:rFonts w:hAnsi="ＭＳ 明朝"/>
                <w:sz w:val="18"/>
                <w:szCs w:val="18"/>
              </w:rPr>
            </w:pPr>
            <w:r w:rsidRPr="00496429">
              <w:rPr>
                <w:rFonts w:hAnsi="ＭＳ 明朝" w:hint="eastAsia"/>
                <w:sz w:val="18"/>
                <w:szCs w:val="18"/>
              </w:rPr>
              <w:t>×100</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09" w:type="dxa"/>
            <w:gridSpan w:val="2"/>
            <w:vMerge/>
            <w:tcBorders>
              <w:left w:val="nil"/>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340"/>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790" w:type="dxa"/>
            <w:gridSpan w:val="11"/>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総資本のうち自己資本の占める割合を示したもので、比率の高い方が望ましい。</w:t>
            </w:r>
          </w:p>
        </w:tc>
      </w:tr>
      <w:tr w:rsidR="006946CA" w:rsidRPr="005724A0" w:rsidTr="006946CA">
        <w:trPr>
          <w:cantSplit/>
          <w:trHeight w:val="283"/>
        </w:trPr>
        <w:tc>
          <w:tcPr>
            <w:tcW w:w="283"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財　務　比　率</w:t>
            </w:r>
          </w:p>
        </w:tc>
        <w:tc>
          <w:tcPr>
            <w:tcW w:w="1282" w:type="dxa"/>
            <w:vMerge w:val="restart"/>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固定比率</w:t>
            </w:r>
          </w:p>
        </w:tc>
        <w:tc>
          <w:tcPr>
            <w:tcW w:w="284"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Pr>
                <w:rFonts w:hAnsi="ＭＳ 明朝" w:hint="eastAsia"/>
                <w:sz w:val="18"/>
                <w:szCs w:val="18"/>
              </w:rPr>
              <w:t>133</w:t>
            </w:r>
            <w:r w:rsidRPr="00B864A4">
              <w:rPr>
                <w:rFonts w:hAnsi="ＭＳ 明朝" w:hint="eastAsia"/>
                <w:sz w:val="18"/>
                <w:szCs w:val="18"/>
              </w:rPr>
              <w:t>.</w:t>
            </w:r>
            <w:r>
              <w:rPr>
                <w:rFonts w:hAnsi="ＭＳ 明朝" w:hint="eastAsia"/>
                <w:sz w:val="18"/>
                <w:szCs w:val="18"/>
              </w:rPr>
              <w:t>3</w:t>
            </w:r>
          </w:p>
        </w:tc>
        <w:tc>
          <w:tcPr>
            <w:tcW w:w="708"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135.0</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137.4</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119.7</w:t>
            </w:r>
          </w:p>
        </w:tc>
        <w:tc>
          <w:tcPr>
            <w:tcW w:w="284" w:type="dxa"/>
            <w:vMerge w:val="restart"/>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×100</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6946CA" w:rsidRPr="0049262F" w:rsidRDefault="006946CA" w:rsidP="006946CA">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09" w:type="dxa"/>
            <w:gridSpan w:val="2"/>
            <w:vMerge/>
            <w:tcBorders>
              <w:left w:val="nil"/>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340"/>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790" w:type="dxa"/>
            <w:gridSpan w:val="11"/>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固定資産と自己資本との割合で資本固定化の程度を示すものであり、100％以下であることが望ましい。</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restart"/>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固定資産対</w:t>
            </w:r>
          </w:p>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長期資本比率</w:t>
            </w:r>
          </w:p>
        </w:tc>
        <w:tc>
          <w:tcPr>
            <w:tcW w:w="284"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Pr>
                <w:rFonts w:hAnsi="ＭＳ 明朝" w:hint="eastAsia"/>
                <w:sz w:val="18"/>
                <w:szCs w:val="18"/>
              </w:rPr>
              <w:t>95</w:t>
            </w:r>
            <w:r w:rsidRPr="00B864A4">
              <w:rPr>
                <w:rFonts w:hAnsi="ＭＳ 明朝" w:hint="eastAsia"/>
                <w:sz w:val="18"/>
                <w:szCs w:val="18"/>
              </w:rPr>
              <w:t>.</w:t>
            </w:r>
            <w:r>
              <w:rPr>
                <w:rFonts w:hAnsi="ＭＳ 明朝" w:hint="eastAsia"/>
                <w:sz w:val="18"/>
                <w:szCs w:val="18"/>
              </w:rPr>
              <w:t>3</w:t>
            </w:r>
          </w:p>
        </w:tc>
        <w:tc>
          <w:tcPr>
            <w:tcW w:w="708"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94.8</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94.7</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90.3</w:t>
            </w:r>
          </w:p>
        </w:tc>
        <w:tc>
          <w:tcPr>
            <w:tcW w:w="284" w:type="dxa"/>
            <w:vMerge w:val="restart"/>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×100</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6946CA" w:rsidRPr="00F17B27" w:rsidRDefault="006946CA" w:rsidP="006946CA">
            <w:pPr>
              <w:kinsoku w:val="0"/>
              <w:overflowPunct w:val="0"/>
              <w:snapToGrid w:val="0"/>
              <w:rPr>
                <w:rFonts w:hAnsi="ＭＳ 明朝"/>
                <w:sz w:val="18"/>
                <w:szCs w:val="18"/>
              </w:rPr>
            </w:pPr>
            <w:r w:rsidRPr="00306545">
              <w:rPr>
                <w:rFonts w:hAnsi="ＭＳ 明朝" w:hint="eastAsia"/>
                <w:spacing w:val="15"/>
                <w:w w:val="92"/>
                <w:kern w:val="0"/>
                <w:sz w:val="18"/>
                <w:szCs w:val="18"/>
                <w:fitText w:val="3483" w:id="1512305920"/>
              </w:rPr>
              <w:t>資本金+剰余金+評価差額等+固定負債+繰延収</w:t>
            </w:r>
            <w:r w:rsidRPr="00306545">
              <w:rPr>
                <w:rFonts w:hAnsi="ＭＳ 明朝" w:hint="eastAsia"/>
                <w:spacing w:val="-135"/>
                <w:w w:val="92"/>
                <w:kern w:val="0"/>
                <w:sz w:val="18"/>
                <w:szCs w:val="18"/>
                <w:fitText w:val="3483" w:id="1512305920"/>
              </w:rPr>
              <w:t>益</w:t>
            </w:r>
          </w:p>
        </w:tc>
        <w:tc>
          <w:tcPr>
            <w:tcW w:w="709" w:type="dxa"/>
            <w:gridSpan w:val="2"/>
            <w:vMerge/>
            <w:tcBorders>
              <w:left w:val="nil"/>
            </w:tcBorders>
            <w:vAlign w:val="center"/>
          </w:tcPr>
          <w:p w:rsidR="006946CA" w:rsidRPr="0049262F" w:rsidRDefault="006946CA" w:rsidP="006946CA">
            <w:pPr>
              <w:kinsoku w:val="0"/>
              <w:overflowPunct w:val="0"/>
              <w:snapToGrid w:val="0"/>
              <w:rPr>
                <w:rFonts w:hAnsi="ＭＳ 明朝"/>
                <w:sz w:val="18"/>
                <w:szCs w:val="18"/>
              </w:rPr>
            </w:pPr>
          </w:p>
        </w:tc>
      </w:tr>
      <w:tr w:rsidR="006946CA" w:rsidRPr="005724A0" w:rsidTr="006946CA">
        <w:trPr>
          <w:cantSplit/>
          <w:trHeight w:val="340"/>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790" w:type="dxa"/>
            <w:gridSpan w:val="11"/>
            <w:vAlign w:val="center"/>
          </w:tcPr>
          <w:p w:rsidR="006946CA" w:rsidRPr="00B864A4" w:rsidRDefault="006946CA" w:rsidP="006946CA">
            <w:pPr>
              <w:kinsoku w:val="0"/>
              <w:overflowPunct w:val="0"/>
              <w:snapToGrid w:val="0"/>
              <w:rPr>
                <w:rFonts w:hAnsi="ＭＳ 明朝"/>
                <w:sz w:val="18"/>
                <w:szCs w:val="18"/>
              </w:rPr>
            </w:pPr>
            <w:r w:rsidRPr="00B864A4">
              <w:rPr>
                <w:rFonts w:hAnsi="ＭＳ 明朝" w:hint="eastAsia"/>
                <w:sz w:val="18"/>
                <w:szCs w:val="18"/>
              </w:rPr>
              <w:t>固定資産と長期資本との割合で資本固定化の程度を示すものであり、100％以下であることが望ましい。</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restart"/>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流動比率</w:t>
            </w:r>
          </w:p>
        </w:tc>
        <w:tc>
          <w:tcPr>
            <w:tcW w:w="284"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232.0</w:t>
            </w:r>
          </w:p>
        </w:tc>
        <w:tc>
          <w:tcPr>
            <w:tcW w:w="708"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290.2</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264.7</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352.0</w:t>
            </w:r>
          </w:p>
        </w:tc>
        <w:tc>
          <w:tcPr>
            <w:tcW w:w="284" w:type="dxa"/>
            <w:vMerge w:val="restart"/>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流　動　資　産</w:t>
            </w:r>
          </w:p>
        </w:tc>
        <w:tc>
          <w:tcPr>
            <w:tcW w:w="709" w:type="dxa"/>
            <w:gridSpan w:val="2"/>
            <w:vMerge w:val="restart"/>
            <w:tcBorders>
              <w:left w:val="nil"/>
            </w:tcBorders>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×100</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vAlign w:val="center"/>
          </w:tcPr>
          <w:p w:rsidR="006946CA" w:rsidRPr="0049262F" w:rsidRDefault="006946CA" w:rsidP="006946CA">
            <w:pPr>
              <w:kinsoku w:val="0"/>
              <w:overflowPunct w:val="0"/>
              <w:snapToGrid w:val="0"/>
              <w:jc w:val="center"/>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流　動　負　債</w:t>
            </w:r>
          </w:p>
        </w:tc>
        <w:tc>
          <w:tcPr>
            <w:tcW w:w="709" w:type="dxa"/>
            <w:gridSpan w:val="2"/>
            <w:vMerge/>
            <w:tcBorders>
              <w:left w:val="nil"/>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340"/>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vAlign w:val="center"/>
          </w:tcPr>
          <w:p w:rsidR="006946CA" w:rsidRPr="0049262F" w:rsidRDefault="006946CA" w:rsidP="006946CA">
            <w:pPr>
              <w:kinsoku w:val="0"/>
              <w:overflowPunct w:val="0"/>
              <w:snapToGrid w:val="0"/>
              <w:jc w:val="center"/>
              <w:rPr>
                <w:rFonts w:hAnsi="ＭＳ 明朝"/>
                <w:sz w:val="18"/>
                <w:szCs w:val="18"/>
              </w:rPr>
            </w:pPr>
          </w:p>
        </w:tc>
        <w:tc>
          <w:tcPr>
            <w:tcW w:w="7790" w:type="dxa"/>
            <w:gridSpan w:val="11"/>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企業の支払い能力を見るもので、この比率が大きいほど支払い能力が高いとされている。</w:t>
            </w:r>
          </w:p>
        </w:tc>
      </w:tr>
      <w:tr w:rsidR="006946CA" w:rsidRPr="005724A0" w:rsidTr="006946CA">
        <w:trPr>
          <w:cantSplit/>
          <w:trHeight w:val="283"/>
        </w:trPr>
        <w:tc>
          <w:tcPr>
            <w:tcW w:w="283"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回　　転　　率</w:t>
            </w:r>
          </w:p>
        </w:tc>
        <w:tc>
          <w:tcPr>
            <w:tcW w:w="1282" w:type="dxa"/>
            <w:vMerge w:val="restart"/>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自己資本</w:t>
            </w:r>
          </w:p>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回転率</w:t>
            </w:r>
          </w:p>
        </w:tc>
        <w:tc>
          <w:tcPr>
            <w:tcW w:w="284"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0.2</w:t>
            </w:r>
          </w:p>
        </w:tc>
        <w:tc>
          <w:tcPr>
            <w:tcW w:w="708"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0.2</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0.2</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0.1</w:t>
            </w:r>
          </w:p>
        </w:tc>
        <w:tc>
          <w:tcPr>
            <w:tcW w:w="284" w:type="dxa"/>
            <w:tcBorders>
              <w:bottom w:val="nil"/>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3821" w:type="dxa"/>
            <w:gridSpan w:val="5"/>
            <w:tcBorders>
              <w:left w:val="single" w:sz="4" w:space="0" w:color="FFFFFF" w:themeColor="background1"/>
              <w:bottom w:val="single" w:sz="8" w:space="0" w:color="auto"/>
              <w:right w:val="single" w:sz="4" w:space="0" w:color="FFFFFF" w:themeColor="background1"/>
            </w:tcBorders>
            <w:vAlign w:val="bottom"/>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567" w:type="dxa"/>
            <w:tcBorders>
              <w:left w:val="single" w:sz="4" w:space="0" w:color="FFFFFF" w:themeColor="background1"/>
              <w:bottom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365" w:right="113"/>
              <w:jc w:val="center"/>
              <w:rPr>
                <w:rFonts w:hAnsi="ＭＳ 明朝"/>
                <w:sz w:val="18"/>
                <w:szCs w:val="18"/>
              </w:rPr>
            </w:pPr>
          </w:p>
        </w:tc>
        <w:tc>
          <w:tcPr>
            <w:tcW w:w="1282" w:type="dxa"/>
            <w:vMerge/>
          </w:tcPr>
          <w:p w:rsidR="006946CA" w:rsidRPr="0049262F" w:rsidRDefault="006946CA" w:rsidP="006946CA">
            <w:pPr>
              <w:kinsoku w:val="0"/>
              <w:overflowPunct w:val="0"/>
              <w:snapToGrid w:val="0"/>
              <w:jc w:val="left"/>
              <w:rPr>
                <w:rFonts w:hAnsi="ＭＳ 明朝"/>
                <w:sz w:val="18"/>
                <w:szCs w:val="18"/>
              </w:rPr>
            </w:pPr>
          </w:p>
        </w:tc>
        <w:tc>
          <w:tcPr>
            <w:tcW w:w="284" w:type="dxa"/>
            <w:vMerge/>
            <w:vAlign w:val="center"/>
          </w:tcPr>
          <w:p w:rsidR="006946CA" w:rsidRPr="0049262F" w:rsidRDefault="006946CA" w:rsidP="006946CA">
            <w:pPr>
              <w:kinsoku w:val="0"/>
              <w:overflowPunct w:val="0"/>
              <w:snapToGrid w:val="0"/>
              <w:jc w:val="center"/>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val="restart"/>
            <w:tcBorders>
              <w:top w:val="nil"/>
              <w:right w:val="nil"/>
            </w:tcBorders>
          </w:tcPr>
          <w:p w:rsidR="006946CA" w:rsidRPr="0049262F" w:rsidRDefault="006946CA" w:rsidP="006946CA">
            <w:pPr>
              <w:kinsoku w:val="0"/>
              <w:overflowPunct w:val="0"/>
              <w:snapToGrid w:val="0"/>
              <w:jc w:val="left"/>
              <w:rPr>
                <w:rFonts w:hAnsi="ＭＳ 明朝"/>
                <w:sz w:val="18"/>
                <w:szCs w:val="18"/>
              </w:rPr>
            </w:pPr>
          </w:p>
        </w:tc>
        <w:tc>
          <w:tcPr>
            <w:tcW w:w="236" w:type="dxa"/>
            <w:vMerge w:val="restart"/>
            <w:tcBorders>
              <w:top w:val="single" w:sz="8" w:space="0" w:color="auto"/>
              <w:left w:val="nil"/>
              <w:right w:val="single" w:sz="4" w:space="0" w:color="FFFFFF" w:themeColor="background1"/>
            </w:tcBorders>
          </w:tcPr>
          <w:p w:rsidR="006946CA" w:rsidRPr="0049262F" w:rsidRDefault="006946CA" w:rsidP="006946CA">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3" type="#_x0000_t185" style="position:absolute;margin-left:3.05pt;margin-top:3.85pt;width:174.8pt;height:19.85pt;z-index:251660288;mso-position-horizontal-relative:text;mso-position-vertical-relative:text" adj="4240">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期首自己資本＋期末自己資本</w:t>
            </w:r>
          </w:p>
        </w:tc>
        <w:tc>
          <w:tcPr>
            <w:tcW w:w="28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567" w:type="dxa"/>
            <w:vMerge w:val="restart"/>
            <w:tcBorders>
              <w:top w:val="single" w:sz="4" w:space="0" w:color="FFFFFF" w:themeColor="background1"/>
              <w:lef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365" w:right="113"/>
              <w:jc w:val="center"/>
              <w:rPr>
                <w:rFonts w:hAnsi="ＭＳ 明朝"/>
                <w:sz w:val="18"/>
                <w:szCs w:val="18"/>
              </w:rPr>
            </w:pPr>
          </w:p>
        </w:tc>
        <w:tc>
          <w:tcPr>
            <w:tcW w:w="1282" w:type="dxa"/>
            <w:vMerge/>
          </w:tcPr>
          <w:p w:rsidR="006946CA" w:rsidRPr="0049262F" w:rsidRDefault="006946CA" w:rsidP="006946CA">
            <w:pPr>
              <w:kinsoku w:val="0"/>
              <w:overflowPunct w:val="0"/>
              <w:snapToGrid w:val="0"/>
              <w:jc w:val="left"/>
              <w:rPr>
                <w:rFonts w:hAnsi="ＭＳ 明朝"/>
                <w:sz w:val="18"/>
                <w:szCs w:val="18"/>
              </w:rPr>
            </w:pPr>
          </w:p>
        </w:tc>
        <w:tc>
          <w:tcPr>
            <w:tcW w:w="284" w:type="dxa"/>
            <w:vMerge/>
            <w:vAlign w:val="center"/>
          </w:tcPr>
          <w:p w:rsidR="006946CA" w:rsidRPr="0049262F" w:rsidRDefault="006946CA" w:rsidP="006946CA">
            <w:pPr>
              <w:kinsoku w:val="0"/>
              <w:overflowPunct w:val="0"/>
              <w:snapToGrid w:val="0"/>
              <w:jc w:val="center"/>
              <w:rPr>
                <w:rFonts w:hAnsi="ＭＳ 明朝"/>
                <w:sz w:val="18"/>
                <w:szCs w:val="18"/>
              </w:rPr>
            </w:pPr>
          </w:p>
        </w:tc>
        <w:tc>
          <w:tcPr>
            <w:tcW w:w="709" w:type="dxa"/>
            <w:vMerge/>
            <w:tcBorders>
              <w:bottom w:val="single" w:sz="4" w:space="0" w:color="auto"/>
            </w:tcBorders>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tcBorders>
              <w:bottom w:val="single" w:sz="4" w:space="0" w:color="auto"/>
            </w:tcBorders>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tcBorders>
              <w:bottom w:val="single" w:sz="4" w:space="0" w:color="auto"/>
            </w:tcBorders>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6946CA" w:rsidRPr="0049262F" w:rsidRDefault="006946CA" w:rsidP="006946CA">
            <w:pPr>
              <w:kinsoku w:val="0"/>
              <w:overflowPunct w:val="0"/>
              <w:snapToGrid w:val="0"/>
              <w:jc w:val="left"/>
              <w:rPr>
                <w:rFonts w:hAnsi="ＭＳ 明朝"/>
                <w:sz w:val="18"/>
                <w:szCs w:val="18"/>
              </w:rPr>
            </w:pPr>
          </w:p>
        </w:tc>
        <w:tc>
          <w:tcPr>
            <w:tcW w:w="236" w:type="dxa"/>
            <w:vMerge/>
            <w:tcBorders>
              <w:left w:val="nil"/>
              <w:bottom w:val="single" w:sz="4" w:space="0" w:color="auto"/>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bottom w:val="single" w:sz="4" w:space="0" w:color="auto"/>
              <w:right w:val="single" w:sz="4" w:space="0" w:color="FFFFFF" w:themeColor="background1"/>
            </w:tcBorders>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6946CA" w:rsidRPr="0049262F" w:rsidRDefault="006946CA" w:rsidP="006946CA">
            <w:pPr>
              <w:widowControl/>
              <w:jc w:val="left"/>
              <w:rPr>
                <w:rFonts w:hAnsi="ＭＳ 明朝"/>
                <w:sz w:val="18"/>
                <w:szCs w:val="18"/>
              </w:rPr>
            </w:pPr>
          </w:p>
        </w:tc>
        <w:tc>
          <w:tcPr>
            <w:tcW w:w="567" w:type="dxa"/>
            <w:vMerge/>
            <w:tcBorders>
              <w:left w:val="single" w:sz="4" w:space="0" w:color="FFFFFF" w:themeColor="background1"/>
              <w:bottom w:val="single" w:sz="4" w:space="0" w:color="auto"/>
            </w:tcBorders>
          </w:tcPr>
          <w:p w:rsidR="006946CA" w:rsidRPr="0049262F" w:rsidRDefault="006946CA" w:rsidP="006946CA">
            <w:pPr>
              <w:widowControl/>
              <w:jc w:val="left"/>
              <w:rPr>
                <w:rFonts w:hAnsi="ＭＳ 明朝"/>
                <w:sz w:val="18"/>
                <w:szCs w:val="18"/>
              </w:rPr>
            </w:pPr>
          </w:p>
        </w:tc>
      </w:tr>
      <w:tr w:rsidR="006946CA" w:rsidRPr="005724A0" w:rsidTr="006946CA">
        <w:trPr>
          <w:cantSplit/>
          <w:trHeight w:val="340"/>
        </w:trPr>
        <w:tc>
          <w:tcPr>
            <w:tcW w:w="283" w:type="dxa"/>
            <w:vMerge/>
            <w:textDirection w:val="tbRlV"/>
            <w:vAlign w:val="center"/>
          </w:tcPr>
          <w:p w:rsidR="006946CA" w:rsidRPr="0049262F" w:rsidRDefault="006946CA" w:rsidP="006946CA">
            <w:pPr>
              <w:kinsoku w:val="0"/>
              <w:overflowPunct w:val="0"/>
              <w:snapToGrid w:val="0"/>
              <w:ind w:left="365" w:right="113"/>
              <w:jc w:val="center"/>
              <w:rPr>
                <w:rFonts w:hAnsi="ＭＳ 明朝"/>
                <w:sz w:val="18"/>
                <w:szCs w:val="18"/>
              </w:rPr>
            </w:pPr>
          </w:p>
        </w:tc>
        <w:tc>
          <w:tcPr>
            <w:tcW w:w="1282" w:type="dxa"/>
            <w:vMerge/>
            <w:tcBorders>
              <w:bottom w:val="single" w:sz="4" w:space="0" w:color="auto"/>
            </w:tcBorders>
          </w:tcPr>
          <w:p w:rsidR="006946CA" w:rsidRPr="0049262F" w:rsidRDefault="006946CA" w:rsidP="006946CA">
            <w:pPr>
              <w:kinsoku w:val="0"/>
              <w:overflowPunct w:val="0"/>
              <w:snapToGrid w:val="0"/>
              <w:jc w:val="left"/>
              <w:rPr>
                <w:rFonts w:hAnsi="ＭＳ 明朝"/>
                <w:sz w:val="18"/>
                <w:szCs w:val="18"/>
              </w:rPr>
            </w:pPr>
          </w:p>
        </w:tc>
        <w:tc>
          <w:tcPr>
            <w:tcW w:w="284" w:type="dxa"/>
            <w:vMerge/>
            <w:tcBorders>
              <w:bottom w:val="single" w:sz="4" w:space="0" w:color="auto"/>
            </w:tcBorders>
            <w:vAlign w:val="center"/>
          </w:tcPr>
          <w:p w:rsidR="006946CA" w:rsidRPr="0049262F" w:rsidRDefault="006946CA" w:rsidP="006946CA">
            <w:pPr>
              <w:kinsoku w:val="0"/>
              <w:overflowPunct w:val="0"/>
              <w:snapToGrid w:val="0"/>
              <w:jc w:val="center"/>
              <w:rPr>
                <w:rFonts w:hAnsi="ＭＳ 明朝"/>
                <w:sz w:val="18"/>
                <w:szCs w:val="18"/>
              </w:rPr>
            </w:pPr>
          </w:p>
        </w:tc>
        <w:tc>
          <w:tcPr>
            <w:tcW w:w="7790" w:type="dxa"/>
            <w:gridSpan w:val="11"/>
            <w:tcBorders>
              <w:bottom w:val="single" w:sz="4" w:space="0" w:color="auto"/>
            </w:tcBorders>
            <w:vAlign w:val="center"/>
          </w:tcPr>
          <w:p w:rsidR="006946CA" w:rsidRPr="00B864A4" w:rsidRDefault="006946CA" w:rsidP="006946CA">
            <w:pPr>
              <w:widowControl/>
              <w:jc w:val="left"/>
              <w:rPr>
                <w:rFonts w:hAnsi="ＭＳ 明朝"/>
                <w:sz w:val="18"/>
                <w:szCs w:val="18"/>
              </w:rPr>
            </w:pPr>
            <w:r w:rsidRPr="00B864A4">
              <w:rPr>
                <w:rFonts w:hAnsi="ＭＳ 明朝" w:hint="eastAsia"/>
                <w:sz w:val="18"/>
                <w:szCs w:val="18"/>
              </w:rPr>
              <w:t>自己資本の働きを観察したもので、数値が大きいほど資本が効率的に使われていることを示す。</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365" w:right="113"/>
              <w:jc w:val="center"/>
              <w:rPr>
                <w:rFonts w:hAnsi="ＭＳ 明朝"/>
                <w:sz w:val="18"/>
                <w:szCs w:val="18"/>
              </w:rPr>
            </w:pPr>
          </w:p>
        </w:tc>
        <w:tc>
          <w:tcPr>
            <w:tcW w:w="1282" w:type="dxa"/>
            <w:vMerge w:val="restart"/>
            <w:tcBorders>
              <w:top w:val="single" w:sz="4" w:space="0" w:color="auto"/>
            </w:tcBorders>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流動資産</w:t>
            </w:r>
          </w:p>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回転率</w:t>
            </w:r>
          </w:p>
        </w:tc>
        <w:tc>
          <w:tcPr>
            <w:tcW w:w="284" w:type="dxa"/>
            <w:vMerge w:val="restart"/>
            <w:tcBorders>
              <w:top w:val="single" w:sz="4" w:space="0" w:color="auto"/>
            </w:tcBorders>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tcBorders>
              <w:top w:val="single" w:sz="4" w:space="0" w:color="auto"/>
            </w:tcBorders>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1.3</w:t>
            </w:r>
          </w:p>
        </w:tc>
        <w:tc>
          <w:tcPr>
            <w:tcW w:w="708" w:type="dxa"/>
            <w:vMerge w:val="restart"/>
            <w:tcBorders>
              <w:top w:val="single" w:sz="4" w:space="0" w:color="auto"/>
            </w:tcBorders>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1.3</w:t>
            </w:r>
          </w:p>
        </w:tc>
        <w:tc>
          <w:tcPr>
            <w:tcW w:w="709" w:type="dxa"/>
            <w:vMerge w:val="restart"/>
            <w:tcBorders>
              <w:top w:val="single" w:sz="4" w:space="0" w:color="auto"/>
            </w:tcBorders>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1.3</w:t>
            </w:r>
          </w:p>
        </w:tc>
        <w:tc>
          <w:tcPr>
            <w:tcW w:w="992" w:type="dxa"/>
            <w:vMerge w:val="restart"/>
            <w:tcBorders>
              <w:top w:val="single" w:sz="4" w:space="0" w:color="auto"/>
            </w:tcBorders>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0.8</w:t>
            </w:r>
          </w:p>
        </w:tc>
        <w:tc>
          <w:tcPr>
            <w:tcW w:w="284" w:type="dxa"/>
            <w:tcBorders>
              <w:top w:val="single" w:sz="4" w:space="0" w:color="auto"/>
              <w:bottom w:val="nil"/>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top w:val="single" w:sz="4" w:space="0" w:color="auto"/>
              <w:left w:val="single" w:sz="4" w:space="0" w:color="FFFFFF" w:themeColor="background1"/>
              <w:bottom w:val="single" w:sz="8" w:space="0" w:color="auto"/>
              <w:right w:val="nil"/>
            </w:tcBorders>
            <w:vAlign w:val="bottom"/>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top w:val="single" w:sz="4" w:space="0" w:color="auto"/>
              <w:left w:val="nil"/>
              <w:bottom w:val="nil"/>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vAlign w:val="center"/>
          </w:tcPr>
          <w:p w:rsidR="006946CA" w:rsidRPr="0049262F" w:rsidRDefault="006946CA" w:rsidP="006946CA">
            <w:pPr>
              <w:kinsoku w:val="0"/>
              <w:overflowPunct w:val="0"/>
              <w:snapToGrid w:val="0"/>
              <w:jc w:val="center"/>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val="restart"/>
            <w:tcBorders>
              <w:top w:val="nil"/>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236" w:type="dxa"/>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6946CA" w:rsidRPr="0049262F" w:rsidRDefault="006946CA" w:rsidP="006946CA">
            <w:pPr>
              <w:kinsoku w:val="0"/>
              <w:overflowPunct w:val="0"/>
              <w:snapToGrid w:val="0"/>
              <w:jc w:val="left"/>
              <w:rPr>
                <w:rFonts w:hAnsi="ＭＳ 明朝"/>
                <w:sz w:val="18"/>
                <w:szCs w:val="18"/>
              </w:rPr>
            </w:pPr>
            <w:r>
              <w:rPr>
                <w:rFonts w:hAnsi="ＭＳ 明朝"/>
                <w:noProof/>
                <w:sz w:val="18"/>
                <w:szCs w:val="18"/>
              </w:rPr>
              <w:pict>
                <v:shape id="_x0000_s1044" type="#_x0000_t185" style="position:absolute;margin-left:2.3pt;margin-top:2.35pt;width:175.65pt;height:19.85pt;z-index:251661312;mso-position-horizontal-relative:text;mso-position-vertical-relative:text">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shd w:val="clear" w:color="auto" w:fill="auto"/>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期首流動資産＋期末流動資産</w:t>
            </w:r>
          </w:p>
        </w:tc>
        <w:tc>
          <w:tcPr>
            <w:tcW w:w="28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6946CA" w:rsidRPr="0049262F" w:rsidRDefault="006946CA" w:rsidP="006946CA">
            <w:pPr>
              <w:kinsoku w:val="0"/>
              <w:overflowPunct w:val="0"/>
              <w:snapToGrid w:val="0"/>
              <w:jc w:val="left"/>
              <w:rPr>
                <w:rFonts w:hAnsi="ＭＳ 明朝"/>
                <w:sz w:val="18"/>
                <w:szCs w:val="18"/>
              </w:rPr>
            </w:pPr>
          </w:p>
        </w:tc>
        <w:tc>
          <w:tcPr>
            <w:tcW w:w="567" w:type="dxa"/>
            <w:vMerge w:val="restart"/>
            <w:tcBorders>
              <w:top w:val="nil"/>
              <w:lef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tcPr>
          <w:p w:rsidR="006946CA" w:rsidRPr="0049262F" w:rsidRDefault="006946CA" w:rsidP="006946CA">
            <w:pPr>
              <w:kinsoku w:val="0"/>
              <w:overflowPunct w:val="0"/>
              <w:snapToGrid w:val="0"/>
              <w:jc w:val="left"/>
              <w:rPr>
                <w:rFonts w:hAnsi="ＭＳ 明朝"/>
                <w:sz w:val="18"/>
                <w:szCs w:val="18"/>
              </w:rPr>
            </w:pPr>
          </w:p>
        </w:tc>
        <w:tc>
          <w:tcPr>
            <w:tcW w:w="284" w:type="dxa"/>
            <w:vMerge/>
            <w:vAlign w:val="center"/>
          </w:tcPr>
          <w:p w:rsidR="006946CA" w:rsidRPr="0049262F" w:rsidRDefault="006946CA" w:rsidP="006946CA">
            <w:pPr>
              <w:kinsoku w:val="0"/>
              <w:overflowPunct w:val="0"/>
              <w:snapToGrid w:val="0"/>
              <w:jc w:val="center"/>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tcBorders>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236" w:type="dxa"/>
            <w:vMerge/>
            <w:tcBorders>
              <w:top w:val="single" w:sz="4" w:space="0" w:color="auto"/>
              <w:left w:val="single" w:sz="4" w:space="0" w:color="FFFFFF" w:themeColor="background1"/>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right w:val="single" w:sz="4" w:space="0" w:color="FFFFFF" w:themeColor="background1"/>
            </w:tcBorders>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top w:val="single" w:sz="4" w:space="0" w:color="auto"/>
              <w:left w:val="single" w:sz="4" w:space="0" w:color="FFFFFF" w:themeColor="background1"/>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567" w:type="dxa"/>
            <w:vMerge/>
            <w:tcBorders>
              <w:lef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340"/>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tcPr>
          <w:p w:rsidR="006946CA" w:rsidRPr="0049262F" w:rsidRDefault="006946CA" w:rsidP="006946CA">
            <w:pPr>
              <w:kinsoku w:val="0"/>
              <w:overflowPunct w:val="0"/>
              <w:snapToGrid w:val="0"/>
              <w:jc w:val="left"/>
              <w:rPr>
                <w:rFonts w:hAnsi="ＭＳ 明朝"/>
                <w:sz w:val="18"/>
                <w:szCs w:val="18"/>
              </w:rPr>
            </w:pPr>
          </w:p>
        </w:tc>
        <w:tc>
          <w:tcPr>
            <w:tcW w:w="284" w:type="dxa"/>
            <w:vMerge/>
            <w:vAlign w:val="center"/>
          </w:tcPr>
          <w:p w:rsidR="006946CA" w:rsidRPr="0049262F" w:rsidRDefault="006946CA" w:rsidP="006946CA">
            <w:pPr>
              <w:kinsoku w:val="0"/>
              <w:overflowPunct w:val="0"/>
              <w:snapToGrid w:val="0"/>
              <w:jc w:val="center"/>
              <w:rPr>
                <w:rFonts w:hAnsi="ＭＳ 明朝"/>
                <w:sz w:val="18"/>
                <w:szCs w:val="18"/>
              </w:rPr>
            </w:pPr>
          </w:p>
        </w:tc>
        <w:tc>
          <w:tcPr>
            <w:tcW w:w="7790" w:type="dxa"/>
            <w:gridSpan w:val="11"/>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流動資産の使用利用度を表すもので、数値が高いほど運用形態が良好なことを示す。</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restart"/>
            <w:vAlign w:val="center"/>
          </w:tcPr>
          <w:p w:rsidR="006946CA" w:rsidRPr="0049262F" w:rsidRDefault="006946CA" w:rsidP="006946CA">
            <w:pPr>
              <w:kinsoku w:val="0"/>
              <w:overflowPunct w:val="0"/>
              <w:snapToGrid w:val="0"/>
              <w:jc w:val="left"/>
              <w:rPr>
                <w:rFonts w:hAnsi="ＭＳ 明朝"/>
                <w:sz w:val="18"/>
                <w:szCs w:val="18"/>
              </w:rPr>
            </w:pPr>
            <w:r w:rsidRPr="0049262F">
              <w:rPr>
                <w:rFonts w:hAnsi="ＭＳ 明朝" w:hint="eastAsia"/>
                <w:sz w:val="18"/>
                <w:szCs w:val="18"/>
              </w:rPr>
              <w:t>未収金回転率</w:t>
            </w:r>
          </w:p>
        </w:tc>
        <w:tc>
          <w:tcPr>
            <w:tcW w:w="284"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8.8</w:t>
            </w:r>
          </w:p>
        </w:tc>
        <w:tc>
          <w:tcPr>
            <w:tcW w:w="708"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8.1</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7.5</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7.6</w:t>
            </w:r>
          </w:p>
        </w:tc>
        <w:tc>
          <w:tcPr>
            <w:tcW w:w="284" w:type="dxa"/>
            <w:tcBorders>
              <w:bottom w:val="nil"/>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left w:val="nil"/>
              <w:bottom w:val="nil"/>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tcPr>
          <w:p w:rsidR="006946CA" w:rsidRPr="0049262F" w:rsidRDefault="006946CA" w:rsidP="006946CA">
            <w:pPr>
              <w:kinsoku w:val="0"/>
              <w:overflowPunct w:val="0"/>
              <w:snapToGrid w:val="0"/>
              <w:jc w:val="left"/>
              <w:rPr>
                <w:rFonts w:hAnsi="ＭＳ 明朝"/>
                <w:sz w:val="18"/>
                <w:szCs w:val="18"/>
              </w:rPr>
            </w:pPr>
          </w:p>
        </w:tc>
        <w:tc>
          <w:tcPr>
            <w:tcW w:w="284" w:type="dxa"/>
            <w:vMerge/>
            <w:vAlign w:val="center"/>
          </w:tcPr>
          <w:p w:rsidR="006946CA" w:rsidRPr="0049262F" w:rsidRDefault="006946CA" w:rsidP="006946CA">
            <w:pPr>
              <w:kinsoku w:val="0"/>
              <w:overflowPunct w:val="0"/>
              <w:snapToGrid w:val="0"/>
              <w:jc w:val="center"/>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val="restart"/>
            <w:tcBorders>
              <w:top w:val="nil"/>
              <w:right w:val="nil"/>
            </w:tcBorders>
          </w:tcPr>
          <w:p w:rsidR="006946CA" w:rsidRPr="0049262F" w:rsidRDefault="006946CA" w:rsidP="006946CA">
            <w:pPr>
              <w:kinsoku w:val="0"/>
              <w:overflowPunct w:val="0"/>
              <w:snapToGrid w:val="0"/>
              <w:jc w:val="left"/>
              <w:rPr>
                <w:rFonts w:hAnsi="ＭＳ 明朝"/>
                <w:sz w:val="18"/>
                <w:szCs w:val="18"/>
              </w:rPr>
            </w:pPr>
          </w:p>
        </w:tc>
        <w:tc>
          <w:tcPr>
            <w:tcW w:w="236" w:type="dxa"/>
            <w:vMerge w:val="restart"/>
            <w:tcBorders>
              <w:top w:val="single" w:sz="8" w:space="0" w:color="auto"/>
              <w:left w:val="nil"/>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r>
              <w:rPr>
                <w:rFonts w:hAnsi="ＭＳ 明朝"/>
                <w:noProof/>
                <w:sz w:val="18"/>
                <w:szCs w:val="18"/>
              </w:rPr>
              <w:pict>
                <v:shape id="_x0000_s1045" type="#_x0000_t185" style="position:absolute;margin-left:.95pt;margin-top:3.3pt;width:184.4pt;height:19.85pt;z-index:251662336;mso-position-horizontal-relative:text;mso-position-vertical-relative:text">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期首未収金＋期末未収金</w:t>
            </w:r>
          </w:p>
        </w:tc>
        <w:tc>
          <w:tcPr>
            <w:tcW w:w="283" w:type="dxa"/>
            <w:gridSpan w:val="2"/>
            <w:vMerge w:val="restart"/>
            <w:tcBorders>
              <w:top w:val="single" w:sz="8" w:space="0" w:color="auto"/>
              <w:left w:val="single" w:sz="4" w:space="0" w:color="FFFFFF" w:themeColor="background1"/>
              <w:bottom w:val="single" w:sz="4" w:space="0" w:color="000000" w:themeColor="text1"/>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567" w:type="dxa"/>
            <w:vMerge w:val="restart"/>
            <w:tcBorders>
              <w:top w:val="nil"/>
              <w:lef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283"/>
        </w:trPr>
        <w:tc>
          <w:tcPr>
            <w:tcW w:w="283" w:type="dxa"/>
            <w:vMerge/>
            <w:tcBorders>
              <w:top w:val="single" w:sz="4" w:space="0" w:color="000000" w:themeColor="text1"/>
            </w:tcBorders>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tcBorders>
              <w:top w:val="single" w:sz="4" w:space="0" w:color="000000" w:themeColor="text1"/>
            </w:tcBorders>
          </w:tcPr>
          <w:p w:rsidR="006946CA" w:rsidRPr="0049262F" w:rsidRDefault="006946CA" w:rsidP="006946CA">
            <w:pPr>
              <w:kinsoku w:val="0"/>
              <w:overflowPunct w:val="0"/>
              <w:snapToGrid w:val="0"/>
              <w:jc w:val="left"/>
              <w:rPr>
                <w:rFonts w:hAnsi="ＭＳ 明朝"/>
                <w:sz w:val="18"/>
                <w:szCs w:val="18"/>
              </w:rPr>
            </w:pPr>
          </w:p>
        </w:tc>
        <w:tc>
          <w:tcPr>
            <w:tcW w:w="284" w:type="dxa"/>
            <w:vMerge/>
            <w:tcBorders>
              <w:top w:val="single" w:sz="4" w:space="0" w:color="000000" w:themeColor="text1"/>
            </w:tcBorders>
            <w:vAlign w:val="center"/>
          </w:tcPr>
          <w:p w:rsidR="006946CA" w:rsidRPr="0049262F" w:rsidRDefault="006946CA" w:rsidP="006946CA">
            <w:pPr>
              <w:kinsoku w:val="0"/>
              <w:overflowPunct w:val="0"/>
              <w:snapToGrid w:val="0"/>
              <w:jc w:val="center"/>
              <w:rPr>
                <w:rFonts w:hAnsi="ＭＳ 明朝"/>
                <w:sz w:val="18"/>
                <w:szCs w:val="18"/>
              </w:rPr>
            </w:pPr>
          </w:p>
        </w:tc>
        <w:tc>
          <w:tcPr>
            <w:tcW w:w="709" w:type="dxa"/>
            <w:vMerge/>
            <w:tcBorders>
              <w:top w:val="single" w:sz="4" w:space="0" w:color="000000" w:themeColor="text1"/>
            </w:tcBorders>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tcBorders>
              <w:top w:val="single" w:sz="4" w:space="0" w:color="000000" w:themeColor="text1"/>
            </w:tcBorders>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tcBorders>
              <w:top w:val="single" w:sz="4" w:space="0" w:color="000000" w:themeColor="text1"/>
            </w:tcBorders>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tcBorders>
              <w:top w:val="single" w:sz="4" w:space="0" w:color="000000" w:themeColor="text1"/>
            </w:tcBorders>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tcBorders>
              <w:top w:val="single" w:sz="4" w:space="0" w:color="000000" w:themeColor="text1"/>
              <w:right w:val="nil"/>
            </w:tcBorders>
          </w:tcPr>
          <w:p w:rsidR="006946CA" w:rsidRPr="0049262F" w:rsidRDefault="006946CA" w:rsidP="006946CA">
            <w:pPr>
              <w:kinsoku w:val="0"/>
              <w:overflowPunct w:val="0"/>
              <w:snapToGrid w:val="0"/>
              <w:jc w:val="left"/>
              <w:rPr>
                <w:rFonts w:hAnsi="ＭＳ 明朝"/>
                <w:sz w:val="18"/>
                <w:szCs w:val="18"/>
              </w:rPr>
            </w:pPr>
          </w:p>
        </w:tc>
        <w:tc>
          <w:tcPr>
            <w:tcW w:w="236" w:type="dxa"/>
            <w:vMerge/>
            <w:tcBorders>
              <w:top w:val="single" w:sz="4" w:space="0" w:color="000000" w:themeColor="text1"/>
              <w:left w:val="nil"/>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right w:val="single" w:sz="4" w:space="0" w:color="FFFFFF" w:themeColor="background1"/>
            </w:tcBorders>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top w:val="single" w:sz="4" w:space="0" w:color="000000" w:themeColor="text1"/>
              <w:left w:val="single" w:sz="4" w:space="0" w:color="FFFFFF" w:themeColor="background1"/>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567" w:type="dxa"/>
            <w:vMerge/>
            <w:tcBorders>
              <w:lef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cantSplit/>
          <w:trHeight w:val="340"/>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tcPr>
          <w:p w:rsidR="006946CA" w:rsidRPr="0049262F" w:rsidRDefault="006946CA" w:rsidP="006946CA">
            <w:pPr>
              <w:kinsoku w:val="0"/>
              <w:overflowPunct w:val="0"/>
              <w:snapToGrid w:val="0"/>
              <w:jc w:val="left"/>
              <w:rPr>
                <w:rFonts w:hAnsi="ＭＳ 明朝"/>
                <w:sz w:val="18"/>
                <w:szCs w:val="18"/>
              </w:rPr>
            </w:pPr>
          </w:p>
        </w:tc>
        <w:tc>
          <w:tcPr>
            <w:tcW w:w="284" w:type="dxa"/>
            <w:vMerge/>
            <w:vAlign w:val="center"/>
          </w:tcPr>
          <w:p w:rsidR="006946CA" w:rsidRPr="0049262F" w:rsidRDefault="006946CA" w:rsidP="006946CA">
            <w:pPr>
              <w:kinsoku w:val="0"/>
              <w:overflowPunct w:val="0"/>
              <w:snapToGrid w:val="0"/>
              <w:jc w:val="center"/>
              <w:rPr>
                <w:rFonts w:hAnsi="ＭＳ 明朝"/>
                <w:sz w:val="18"/>
                <w:szCs w:val="18"/>
              </w:rPr>
            </w:pPr>
          </w:p>
        </w:tc>
        <w:tc>
          <w:tcPr>
            <w:tcW w:w="7790" w:type="dxa"/>
            <w:gridSpan w:val="11"/>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未収金の回収度を測定するもので、数値が高ければ未収金の回収速度が良好なことを示す。</w:t>
            </w:r>
          </w:p>
        </w:tc>
      </w:tr>
      <w:tr w:rsidR="006946CA" w:rsidRPr="005724A0" w:rsidTr="006946CA">
        <w:trPr>
          <w:cantSplit/>
          <w:trHeight w:val="283"/>
        </w:trPr>
        <w:tc>
          <w:tcPr>
            <w:tcW w:w="283"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収　　益　　率</w:t>
            </w:r>
          </w:p>
        </w:tc>
        <w:tc>
          <w:tcPr>
            <w:tcW w:w="1282" w:type="dxa"/>
            <w:vMerge w:val="restart"/>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総収支比率</w:t>
            </w:r>
          </w:p>
        </w:tc>
        <w:tc>
          <w:tcPr>
            <w:tcW w:w="284"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127.6</w:t>
            </w:r>
          </w:p>
        </w:tc>
        <w:tc>
          <w:tcPr>
            <w:tcW w:w="708"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120.3</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86.6</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113.6</w:t>
            </w:r>
          </w:p>
        </w:tc>
        <w:tc>
          <w:tcPr>
            <w:tcW w:w="284" w:type="dxa"/>
            <w:vMerge w:val="restart"/>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総　　収　　益</w:t>
            </w:r>
          </w:p>
        </w:tc>
        <w:tc>
          <w:tcPr>
            <w:tcW w:w="709" w:type="dxa"/>
            <w:gridSpan w:val="2"/>
            <w:vMerge w:val="restart"/>
            <w:tcBorders>
              <w:left w:val="nil"/>
            </w:tcBorders>
            <w:vAlign w:val="center"/>
          </w:tcPr>
          <w:p w:rsidR="006946CA" w:rsidRPr="0049262F" w:rsidRDefault="006946CA" w:rsidP="006946CA">
            <w:pPr>
              <w:widowControl/>
              <w:rPr>
                <w:rFonts w:hAnsi="ＭＳ 明朝"/>
                <w:sz w:val="18"/>
                <w:szCs w:val="18"/>
              </w:rPr>
            </w:pPr>
            <w:r w:rsidRPr="0049262F">
              <w:rPr>
                <w:rFonts w:hAnsi="ＭＳ 明朝" w:hint="eastAsia"/>
                <w:sz w:val="18"/>
                <w:szCs w:val="18"/>
              </w:rPr>
              <w:t>×100</w:t>
            </w:r>
          </w:p>
        </w:tc>
      </w:tr>
      <w:tr w:rsidR="006946CA" w:rsidRPr="005724A0" w:rsidTr="006946CA">
        <w:trPr>
          <w:cantSplit/>
          <w:trHeight w:val="283"/>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総　　費　　用</w:t>
            </w:r>
          </w:p>
        </w:tc>
        <w:tc>
          <w:tcPr>
            <w:tcW w:w="709" w:type="dxa"/>
            <w:gridSpan w:val="2"/>
            <w:vMerge/>
            <w:tcBorders>
              <w:left w:val="nil"/>
            </w:tcBorders>
            <w:vAlign w:val="center"/>
          </w:tcPr>
          <w:p w:rsidR="006946CA" w:rsidRPr="0049262F" w:rsidRDefault="006946CA" w:rsidP="006946CA">
            <w:pPr>
              <w:widowControl/>
              <w:rPr>
                <w:rFonts w:hAnsi="ＭＳ 明朝"/>
                <w:sz w:val="18"/>
                <w:szCs w:val="18"/>
              </w:rPr>
            </w:pPr>
          </w:p>
        </w:tc>
      </w:tr>
      <w:tr w:rsidR="006946CA" w:rsidRPr="005724A0" w:rsidTr="006946CA">
        <w:trPr>
          <w:cantSplit/>
          <w:trHeight w:val="340"/>
        </w:trPr>
        <w:tc>
          <w:tcPr>
            <w:tcW w:w="283"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790" w:type="dxa"/>
            <w:gridSpan w:val="11"/>
            <w:vAlign w:val="center"/>
          </w:tcPr>
          <w:p w:rsidR="006946CA" w:rsidRPr="00B864A4" w:rsidRDefault="006946CA" w:rsidP="006946CA">
            <w:pPr>
              <w:widowControl/>
              <w:rPr>
                <w:rFonts w:hAnsi="ＭＳ 明朝"/>
                <w:sz w:val="18"/>
                <w:szCs w:val="18"/>
              </w:rPr>
            </w:pPr>
            <w:r w:rsidRPr="00B864A4">
              <w:rPr>
                <w:rFonts w:hAnsi="ＭＳ 明朝" w:hint="eastAsia"/>
                <w:sz w:val="18"/>
                <w:szCs w:val="18"/>
              </w:rPr>
              <w:t>総収益と総費用の割合で営業活動の能率を表すものであり、比率の高いほうが望ましい。</w:t>
            </w:r>
          </w:p>
        </w:tc>
      </w:tr>
      <w:tr w:rsidR="006946CA" w:rsidRPr="005724A0" w:rsidTr="006946CA">
        <w:trPr>
          <w:trHeight w:val="283"/>
        </w:trPr>
        <w:tc>
          <w:tcPr>
            <w:tcW w:w="283" w:type="dxa"/>
            <w:vMerge/>
          </w:tcPr>
          <w:p w:rsidR="006946CA" w:rsidRPr="0049262F" w:rsidRDefault="006946CA" w:rsidP="006946CA">
            <w:pPr>
              <w:kinsoku w:val="0"/>
              <w:overflowPunct w:val="0"/>
              <w:snapToGrid w:val="0"/>
              <w:jc w:val="left"/>
              <w:rPr>
                <w:rFonts w:hAnsi="ＭＳ 明朝"/>
                <w:sz w:val="18"/>
                <w:szCs w:val="18"/>
              </w:rPr>
            </w:pPr>
          </w:p>
        </w:tc>
        <w:tc>
          <w:tcPr>
            <w:tcW w:w="1282" w:type="dxa"/>
            <w:vMerge w:val="restart"/>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営業収支比率</w:t>
            </w:r>
          </w:p>
        </w:tc>
        <w:tc>
          <w:tcPr>
            <w:tcW w:w="284"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117.7</w:t>
            </w:r>
          </w:p>
        </w:tc>
        <w:tc>
          <w:tcPr>
            <w:tcW w:w="708"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110.7</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110.8</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106.0</w:t>
            </w:r>
          </w:p>
        </w:tc>
        <w:tc>
          <w:tcPr>
            <w:tcW w:w="284" w:type="dxa"/>
            <w:vMerge w:val="restart"/>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vMerge w:val="restart"/>
            <w:tcBorders>
              <w:left w:val="nil"/>
            </w:tcBorders>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×100</w:t>
            </w:r>
          </w:p>
        </w:tc>
      </w:tr>
      <w:tr w:rsidR="006946CA" w:rsidRPr="005724A0" w:rsidTr="006946CA">
        <w:trPr>
          <w:trHeight w:val="283"/>
        </w:trPr>
        <w:tc>
          <w:tcPr>
            <w:tcW w:w="283" w:type="dxa"/>
            <w:vMerge/>
          </w:tcPr>
          <w:p w:rsidR="006946CA" w:rsidRPr="0049262F" w:rsidRDefault="006946CA" w:rsidP="006946CA">
            <w:pPr>
              <w:kinsoku w:val="0"/>
              <w:overflowPunct w:val="0"/>
              <w:snapToGrid w:val="0"/>
              <w:jc w:val="left"/>
              <w:rPr>
                <w:rFonts w:hAnsi="ＭＳ 明朝"/>
                <w:sz w:val="18"/>
                <w:szCs w:val="18"/>
              </w:rPr>
            </w:pPr>
          </w:p>
        </w:tc>
        <w:tc>
          <w:tcPr>
            <w:tcW w:w="1282" w:type="dxa"/>
            <w:vMerge/>
          </w:tcPr>
          <w:p w:rsidR="006946CA" w:rsidRPr="0049262F" w:rsidRDefault="006946CA" w:rsidP="006946CA">
            <w:pPr>
              <w:kinsoku w:val="0"/>
              <w:overflowPunct w:val="0"/>
              <w:snapToGrid w:val="0"/>
              <w:jc w:val="left"/>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8" w:type="dxa"/>
            <w:vMerge/>
            <w:vAlign w:val="center"/>
          </w:tcPr>
          <w:p w:rsidR="006946CA" w:rsidRPr="00B864A4" w:rsidRDefault="006946CA" w:rsidP="006946CA">
            <w:pPr>
              <w:kinsoku w:val="0"/>
              <w:overflowPunct w:val="0"/>
              <w:snapToGrid w:val="0"/>
              <w:jc w:val="right"/>
              <w:rPr>
                <w:rFonts w:hAnsi="ＭＳ 明朝"/>
                <w:sz w:val="18"/>
                <w:szCs w:val="18"/>
              </w:rPr>
            </w:pPr>
          </w:p>
        </w:tc>
        <w:tc>
          <w:tcPr>
            <w:tcW w:w="709"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284" w:type="dxa"/>
            <w:vMerge/>
            <w:tcBorders>
              <w:right w:val="nil"/>
            </w:tcBorders>
          </w:tcPr>
          <w:p w:rsidR="006946CA" w:rsidRPr="0049262F" w:rsidRDefault="006946CA" w:rsidP="006946CA">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営業費用－受託事業費用</w:t>
            </w:r>
          </w:p>
        </w:tc>
        <w:tc>
          <w:tcPr>
            <w:tcW w:w="709" w:type="dxa"/>
            <w:gridSpan w:val="2"/>
            <w:vMerge/>
            <w:tcBorders>
              <w:left w:val="nil"/>
            </w:tcBorders>
          </w:tcPr>
          <w:p w:rsidR="006946CA" w:rsidRPr="0049262F" w:rsidRDefault="006946CA" w:rsidP="006946CA">
            <w:pPr>
              <w:kinsoku w:val="0"/>
              <w:overflowPunct w:val="0"/>
              <w:snapToGrid w:val="0"/>
              <w:jc w:val="left"/>
              <w:rPr>
                <w:rFonts w:hAnsi="ＭＳ 明朝"/>
                <w:sz w:val="18"/>
                <w:szCs w:val="18"/>
              </w:rPr>
            </w:pPr>
          </w:p>
        </w:tc>
      </w:tr>
      <w:tr w:rsidR="006946CA" w:rsidRPr="005724A0" w:rsidTr="006946CA">
        <w:trPr>
          <w:trHeight w:val="340"/>
        </w:trPr>
        <w:tc>
          <w:tcPr>
            <w:tcW w:w="283" w:type="dxa"/>
            <w:vMerge/>
          </w:tcPr>
          <w:p w:rsidR="006946CA" w:rsidRPr="0049262F" w:rsidRDefault="006946CA" w:rsidP="006946CA">
            <w:pPr>
              <w:kinsoku w:val="0"/>
              <w:overflowPunct w:val="0"/>
              <w:snapToGrid w:val="0"/>
              <w:jc w:val="left"/>
              <w:rPr>
                <w:rFonts w:hAnsi="ＭＳ 明朝"/>
                <w:sz w:val="18"/>
                <w:szCs w:val="18"/>
              </w:rPr>
            </w:pPr>
          </w:p>
        </w:tc>
        <w:tc>
          <w:tcPr>
            <w:tcW w:w="1282" w:type="dxa"/>
            <w:vMerge/>
          </w:tcPr>
          <w:p w:rsidR="006946CA" w:rsidRPr="0049262F" w:rsidRDefault="006946CA" w:rsidP="006946CA">
            <w:pPr>
              <w:kinsoku w:val="0"/>
              <w:overflowPunct w:val="0"/>
              <w:snapToGrid w:val="0"/>
              <w:jc w:val="left"/>
              <w:rPr>
                <w:rFonts w:hAnsi="ＭＳ 明朝"/>
                <w:sz w:val="18"/>
                <w:szCs w:val="18"/>
              </w:rPr>
            </w:pPr>
          </w:p>
        </w:tc>
        <w:tc>
          <w:tcPr>
            <w:tcW w:w="284" w:type="dxa"/>
            <w:vMerge/>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p>
        </w:tc>
        <w:tc>
          <w:tcPr>
            <w:tcW w:w="7790" w:type="dxa"/>
            <w:gridSpan w:val="11"/>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総収益と総費用との割合で、営業活動の能率を表すものであり、比率の高いほど経営状況が良好なことを示す。</w:t>
            </w:r>
          </w:p>
        </w:tc>
      </w:tr>
      <w:tr w:rsidR="006946CA" w:rsidRPr="005724A0" w:rsidTr="006946CA">
        <w:trPr>
          <w:trHeight w:val="283"/>
        </w:trPr>
        <w:tc>
          <w:tcPr>
            <w:tcW w:w="283" w:type="dxa"/>
            <w:vMerge/>
          </w:tcPr>
          <w:p w:rsidR="006946CA" w:rsidRPr="0049262F" w:rsidRDefault="006946CA" w:rsidP="006946CA">
            <w:pPr>
              <w:kinsoku w:val="0"/>
              <w:overflowPunct w:val="0"/>
              <w:snapToGrid w:val="0"/>
              <w:jc w:val="left"/>
              <w:rPr>
                <w:rFonts w:hAnsi="ＭＳ 明朝"/>
                <w:sz w:val="18"/>
                <w:szCs w:val="18"/>
              </w:rPr>
            </w:pPr>
          </w:p>
        </w:tc>
        <w:tc>
          <w:tcPr>
            <w:tcW w:w="1282" w:type="dxa"/>
            <w:vMerge w:val="restart"/>
            <w:vAlign w:val="center"/>
          </w:tcPr>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総資本利益率</w:t>
            </w:r>
          </w:p>
        </w:tc>
        <w:tc>
          <w:tcPr>
            <w:tcW w:w="284" w:type="dxa"/>
            <w:vMerge w:val="restart"/>
            <w:textDirection w:val="tbRlV"/>
            <w:vAlign w:val="center"/>
          </w:tcPr>
          <w:p w:rsidR="006946CA" w:rsidRPr="0049262F" w:rsidRDefault="006946CA" w:rsidP="006946C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2.5</w:t>
            </w:r>
          </w:p>
        </w:tc>
        <w:tc>
          <w:tcPr>
            <w:tcW w:w="708"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1.9</w:t>
            </w:r>
          </w:p>
        </w:tc>
        <w:tc>
          <w:tcPr>
            <w:tcW w:w="709"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1.9</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1.4</w:t>
            </w:r>
          </w:p>
        </w:tc>
        <w:tc>
          <w:tcPr>
            <w:tcW w:w="284" w:type="dxa"/>
            <w:tcBorders>
              <w:bottom w:val="nil"/>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3680" w:type="dxa"/>
            <w:gridSpan w:val="4"/>
            <w:tcBorders>
              <w:left w:val="single" w:sz="4" w:space="0" w:color="FFFFFF" w:themeColor="background1"/>
              <w:bottom w:val="single" w:sz="8" w:space="0" w:color="auto"/>
              <w:right w:val="single" w:sz="4" w:space="0" w:color="FFFFFF" w:themeColor="background1"/>
            </w:tcBorders>
            <w:vAlign w:val="bottom"/>
          </w:tcPr>
          <w:p w:rsidR="006946CA" w:rsidRPr="0049262F" w:rsidRDefault="006946CA" w:rsidP="006946CA">
            <w:pPr>
              <w:kinsoku w:val="0"/>
              <w:overflowPunct w:val="0"/>
              <w:snapToGrid w:val="0"/>
              <w:jc w:val="center"/>
              <w:rPr>
                <w:rFonts w:hAnsi="ＭＳ 明朝"/>
                <w:sz w:val="18"/>
                <w:szCs w:val="18"/>
              </w:rPr>
            </w:pPr>
            <w:r>
              <w:rPr>
                <w:rFonts w:hAnsi="ＭＳ 明朝" w:hint="eastAsia"/>
                <w:sz w:val="18"/>
                <w:szCs w:val="18"/>
              </w:rPr>
              <w:t>当年度経常</w:t>
            </w:r>
            <w:r w:rsidRPr="0049262F">
              <w:rPr>
                <w:rFonts w:hAnsi="ＭＳ 明朝" w:hint="eastAsia"/>
                <w:sz w:val="18"/>
                <w:szCs w:val="18"/>
              </w:rPr>
              <w:t>利益（損失）</w:t>
            </w:r>
          </w:p>
        </w:tc>
        <w:tc>
          <w:tcPr>
            <w:tcW w:w="708" w:type="dxa"/>
            <w:gridSpan w:val="2"/>
            <w:vMerge w:val="restart"/>
            <w:tcBorders>
              <w:left w:val="single" w:sz="4" w:space="0" w:color="FFFFFF" w:themeColor="background1"/>
            </w:tcBorders>
          </w:tcPr>
          <w:p w:rsidR="006946CA" w:rsidRPr="0049262F" w:rsidRDefault="006946CA" w:rsidP="006946CA">
            <w:pPr>
              <w:kinsoku w:val="0"/>
              <w:overflowPunct w:val="0"/>
              <w:snapToGrid w:val="0"/>
              <w:rPr>
                <w:rFonts w:hAnsi="ＭＳ 明朝"/>
                <w:sz w:val="18"/>
                <w:szCs w:val="18"/>
              </w:rPr>
            </w:pPr>
          </w:p>
          <w:p w:rsidR="006946CA" w:rsidRPr="0049262F" w:rsidRDefault="006946CA" w:rsidP="006946CA">
            <w:pPr>
              <w:kinsoku w:val="0"/>
              <w:overflowPunct w:val="0"/>
              <w:snapToGrid w:val="0"/>
              <w:rPr>
                <w:rFonts w:hAnsi="ＭＳ 明朝"/>
                <w:sz w:val="18"/>
                <w:szCs w:val="18"/>
              </w:rPr>
            </w:pPr>
            <w:r w:rsidRPr="0049262F">
              <w:rPr>
                <w:rFonts w:hAnsi="ＭＳ 明朝" w:hint="eastAsia"/>
                <w:sz w:val="18"/>
                <w:szCs w:val="18"/>
              </w:rPr>
              <w:t>×100</w:t>
            </w:r>
          </w:p>
        </w:tc>
      </w:tr>
      <w:tr w:rsidR="006946CA" w:rsidRPr="005724A0" w:rsidTr="006946CA">
        <w:trPr>
          <w:trHeight w:val="283"/>
        </w:trPr>
        <w:tc>
          <w:tcPr>
            <w:tcW w:w="283" w:type="dxa"/>
            <w:vMerge/>
          </w:tcPr>
          <w:p w:rsidR="006946CA" w:rsidRPr="0049262F" w:rsidRDefault="006946CA" w:rsidP="006946CA">
            <w:pPr>
              <w:kinsoku w:val="0"/>
              <w:overflowPunct w:val="0"/>
              <w:snapToGrid w:val="0"/>
              <w:jc w:val="left"/>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vAlign w:val="center"/>
          </w:tcPr>
          <w:p w:rsidR="006946CA" w:rsidRPr="0049262F" w:rsidRDefault="006946CA" w:rsidP="006946CA">
            <w:pPr>
              <w:kinsoku w:val="0"/>
              <w:overflowPunct w:val="0"/>
              <w:snapToGrid w:val="0"/>
              <w:jc w:val="center"/>
              <w:rPr>
                <w:rFonts w:hAnsi="ＭＳ 明朝"/>
                <w:sz w:val="18"/>
                <w:szCs w:val="18"/>
              </w:rPr>
            </w:pPr>
          </w:p>
        </w:tc>
        <w:tc>
          <w:tcPr>
            <w:tcW w:w="709" w:type="dxa"/>
            <w:vMerge/>
            <w:vAlign w:val="center"/>
          </w:tcPr>
          <w:p w:rsidR="006946CA" w:rsidRPr="0049262F" w:rsidRDefault="006946CA" w:rsidP="006946CA">
            <w:pPr>
              <w:kinsoku w:val="0"/>
              <w:overflowPunct w:val="0"/>
              <w:snapToGrid w:val="0"/>
              <w:jc w:val="right"/>
              <w:rPr>
                <w:rFonts w:hAnsi="ＭＳ 明朝"/>
                <w:sz w:val="18"/>
                <w:szCs w:val="18"/>
              </w:rPr>
            </w:pPr>
          </w:p>
        </w:tc>
        <w:tc>
          <w:tcPr>
            <w:tcW w:w="708" w:type="dxa"/>
            <w:vMerge/>
            <w:vAlign w:val="center"/>
          </w:tcPr>
          <w:p w:rsidR="006946CA" w:rsidRPr="0049262F" w:rsidRDefault="006946CA" w:rsidP="006946CA">
            <w:pPr>
              <w:kinsoku w:val="0"/>
              <w:overflowPunct w:val="0"/>
              <w:snapToGrid w:val="0"/>
              <w:jc w:val="right"/>
              <w:rPr>
                <w:rFonts w:hAnsi="ＭＳ 明朝"/>
                <w:sz w:val="18"/>
                <w:szCs w:val="18"/>
              </w:rPr>
            </w:pPr>
          </w:p>
        </w:tc>
        <w:tc>
          <w:tcPr>
            <w:tcW w:w="709" w:type="dxa"/>
            <w:vMerge/>
            <w:vAlign w:val="center"/>
          </w:tcPr>
          <w:p w:rsidR="006946CA" w:rsidRPr="0049262F" w:rsidRDefault="006946CA" w:rsidP="006946CA">
            <w:pPr>
              <w:kinsoku w:val="0"/>
              <w:overflowPunct w:val="0"/>
              <w:snapToGrid w:val="0"/>
              <w:jc w:val="right"/>
              <w:rPr>
                <w:rFonts w:hAnsi="ＭＳ 明朝"/>
                <w:sz w:val="18"/>
                <w:szCs w:val="18"/>
              </w:rPr>
            </w:pPr>
          </w:p>
        </w:tc>
        <w:tc>
          <w:tcPr>
            <w:tcW w:w="992" w:type="dxa"/>
            <w:vMerge/>
            <w:vAlign w:val="center"/>
          </w:tcPr>
          <w:p w:rsidR="006946CA" w:rsidRPr="0049262F" w:rsidRDefault="006946CA" w:rsidP="006946CA">
            <w:pPr>
              <w:kinsoku w:val="0"/>
              <w:overflowPunct w:val="0"/>
              <w:snapToGrid w:val="0"/>
              <w:jc w:val="right"/>
              <w:rPr>
                <w:rFonts w:hAnsi="ＭＳ 明朝"/>
                <w:sz w:val="18"/>
                <w:szCs w:val="18"/>
              </w:rPr>
            </w:pPr>
          </w:p>
        </w:tc>
        <w:tc>
          <w:tcPr>
            <w:tcW w:w="284" w:type="dxa"/>
            <w:vMerge w:val="restart"/>
            <w:tcBorders>
              <w:top w:val="nil"/>
              <w:right w:val="nil"/>
            </w:tcBorders>
          </w:tcPr>
          <w:p w:rsidR="006946CA" w:rsidRPr="0049262F" w:rsidRDefault="006946CA" w:rsidP="006946CA">
            <w:pPr>
              <w:kinsoku w:val="0"/>
              <w:overflowPunct w:val="0"/>
              <w:snapToGrid w:val="0"/>
              <w:jc w:val="left"/>
              <w:rPr>
                <w:rFonts w:hAnsi="ＭＳ 明朝"/>
                <w:sz w:val="18"/>
                <w:szCs w:val="18"/>
              </w:rPr>
            </w:pPr>
            <w:r>
              <w:rPr>
                <w:rFonts w:hAnsi="ＭＳ 明朝"/>
                <w:noProof/>
                <w:sz w:val="18"/>
                <w:szCs w:val="18"/>
              </w:rPr>
              <w:pict>
                <v:shape id="_x0000_s1046" type="#_x0000_t185" style="position:absolute;margin-left:8.45pt;margin-top:5pt;width:176.9pt;height:19.85pt;z-index:251663360;mso-position-horizontal-relative:text;mso-position-vertical-relative:text">
                  <v:textbox inset="5.85pt,.7pt,5.85pt,.7pt"/>
                </v:shape>
              </w:pict>
            </w:r>
          </w:p>
        </w:tc>
        <w:tc>
          <w:tcPr>
            <w:tcW w:w="236" w:type="dxa"/>
            <w:vMerge w:val="restart"/>
            <w:tcBorders>
              <w:top w:val="single" w:sz="8" w:space="0" w:color="auto"/>
              <w:left w:val="nil"/>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3160" w:type="dxa"/>
            <w:tcBorders>
              <w:top w:val="single" w:sz="8" w:space="0" w:color="auto"/>
              <w:left w:val="single" w:sz="4" w:space="0" w:color="FFFFFF" w:themeColor="background1"/>
              <w:bottom w:val="single" w:sz="8" w:space="0" w:color="auto"/>
              <w:right w:val="single" w:sz="4" w:space="0" w:color="FFFFFF" w:themeColor="background1"/>
            </w:tcBorders>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期首総資本＋期末総資本</w:t>
            </w:r>
          </w:p>
        </w:tc>
        <w:tc>
          <w:tcPr>
            <w:tcW w:w="284"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6946CA" w:rsidRPr="005724A0" w:rsidRDefault="006946CA" w:rsidP="006946CA">
            <w:pPr>
              <w:kinsoku w:val="0"/>
              <w:overflowPunct w:val="0"/>
              <w:snapToGrid w:val="0"/>
              <w:jc w:val="left"/>
              <w:rPr>
                <w:rFonts w:hAnsi="ＭＳ 明朝"/>
                <w:sz w:val="18"/>
                <w:szCs w:val="18"/>
              </w:rPr>
            </w:pPr>
          </w:p>
        </w:tc>
        <w:tc>
          <w:tcPr>
            <w:tcW w:w="708" w:type="dxa"/>
            <w:gridSpan w:val="2"/>
            <w:vMerge/>
            <w:tcBorders>
              <w:left w:val="single" w:sz="4" w:space="0" w:color="FFFFFF" w:themeColor="background1"/>
            </w:tcBorders>
          </w:tcPr>
          <w:p w:rsidR="006946CA" w:rsidRPr="005724A0" w:rsidRDefault="006946CA" w:rsidP="006946CA">
            <w:pPr>
              <w:kinsoku w:val="0"/>
              <w:overflowPunct w:val="0"/>
              <w:snapToGrid w:val="0"/>
              <w:jc w:val="left"/>
              <w:rPr>
                <w:rFonts w:hAnsi="ＭＳ 明朝"/>
                <w:sz w:val="18"/>
                <w:szCs w:val="18"/>
              </w:rPr>
            </w:pPr>
          </w:p>
        </w:tc>
      </w:tr>
      <w:tr w:rsidR="006946CA" w:rsidRPr="005724A0" w:rsidTr="006946CA">
        <w:trPr>
          <w:trHeight w:val="340"/>
        </w:trPr>
        <w:tc>
          <w:tcPr>
            <w:tcW w:w="283" w:type="dxa"/>
            <w:vMerge/>
          </w:tcPr>
          <w:p w:rsidR="006946CA" w:rsidRPr="0049262F" w:rsidRDefault="006946CA" w:rsidP="006946CA">
            <w:pPr>
              <w:kinsoku w:val="0"/>
              <w:overflowPunct w:val="0"/>
              <w:snapToGrid w:val="0"/>
              <w:jc w:val="left"/>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vAlign w:val="center"/>
          </w:tcPr>
          <w:p w:rsidR="006946CA" w:rsidRPr="0049262F" w:rsidRDefault="006946CA" w:rsidP="006946CA">
            <w:pPr>
              <w:kinsoku w:val="0"/>
              <w:overflowPunct w:val="0"/>
              <w:snapToGrid w:val="0"/>
              <w:jc w:val="center"/>
              <w:rPr>
                <w:rFonts w:hAnsi="ＭＳ 明朝"/>
                <w:sz w:val="18"/>
                <w:szCs w:val="18"/>
              </w:rPr>
            </w:pPr>
          </w:p>
        </w:tc>
        <w:tc>
          <w:tcPr>
            <w:tcW w:w="709" w:type="dxa"/>
            <w:vMerge/>
            <w:tcBorders>
              <w:bottom w:val="single" w:sz="4" w:space="0" w:color="auto"/>
            </w:tcBorders>
            <w:vAlign w:val="center"/>
          </w:tcPr>
          <w:p w:rsidR="006946CA" w:rsidRPr="0049262F" w:rsidRDefault="006946CA" w:rsidP="006946CA">
            <w:pPr>
              <w:kinsoku w:val="0"/>
              <w:overflowPunct w:val="0"/>
              <w:snapToGrid w:val="0"/>
              <w:jc w:val="right"/>
              <w:rPr>
                <w:rFonts w:hAnsi="ＭＳ 明朝"/>
                <w:sz w:val="18"/>
                <w:szCs w:val="18"/>
              </w:rPr>
            </w:pPr>
          </w:p>
        </w:tc>
        <w:tc>
          <w:tcPr>
            <w:tcW w:w="708" w:type="dxa"/>
            <w:vMerge/>
            <w:tcBorders>
              <w:bottom w:val="single" w:sz="4" w:space="0" w:color="auto"/>
            </w:tcBorders>
            <w:vAlign w:val="center"/>
          </w:tcPr>
          <w:p w:rsidR="006946CA" w:rsidRPr="0049262F" w:rsidRDefault="006946CA" w:rsidP="006946CA">
            <w:pPr>
              <w:kinsoku w:val="0"/>
              <w:overflowPunct w:val="0"/>
              <w:snapToGrid w:val="0"/>
              <w:jc w:val="right"/>
              <w:rPr>
                <w:rFonts w:hAnsi="ＭＳ 明朝"/>
                <w:sz w:val="18"/>
                <w:szCs w:val="18"/>
              </w:rPr>
            </w:pPr>
          </w:p>
        </w:tc>
        <w:tc>
          <w:tcPr>
            <w:tcW w:w="709" w:type="dxa"/>
            <w:vMerge/>
            <w:tcBorders>
              <w:bottom w:val="single" w:sz="4" w:space="0" w:color="auto"/>
            </w:tcBorders>
            <w:vAlign w:val="center"/>
          </w:tcPr>
          <w:p w:rsidR="006946CA" w:rsidRPr="0049262F" w:rsidRDefault="006946CA" w:rsidP="006946CA">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6946CA" w:rsidRPr="0049262F" w:rsidRDefault="006946CA" w:rsidP="006946CA">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6946CA" w:rsidRPr="0049262F" w:rsidRDefault="006946CA" w:rsidP="006946CA">
            <w:pPr>
              <w:kinsoku w:val="0"/>
              <w:overflowPunct w:val="0"/>
              <w:snapToGrid w:val="0"/>
              <w:jc w:val="left"/>
              <w:rPr>
                <w:rFonts w:hAnsi="ＭＳ 明朝"/>
                <w:sz w:val="18"/>
                <w:szCs w:val="18"/>
              </w:rPr>
            </w:pPr>
          </w:p>
        </w:tc>
        <w:tc>
          <w:tcPr>
            <w:tcW w:w="236" w:type="dxa"/>
            <w:vMerge/>
            <w:tcBorders>
              <w:left w:val="nil"/>
              <w:bottom w:val="single" w:sz="4" w:space="0" w:color="auto"/>
              <w:right w:val="single" w:sz="4" w:space="0" w:color="FFFFFF" w:themeColor="background1"/>
            </w:tcBorders>
          </w:tcPr>
          <w:p w:rsidR="006946CA" w:rsidRPr="0049262F" w:rsidRDefault="006946CA" w:rsidP="006946CA">
            <w:pPr>
              <w:kinsoku w:val="0"/>
              <w:overflowPunct w:val="0"/>
              <w:snapToGrid w:val="0"/>
              <w:jc w:val="left"/>
              <w:rPr>
                <w:rFonts w:hAnsi="ＭＳ 明朝"/>
                <w:sz w:val="18"/>
                <w:szCs w:val="18"/>
              </w:rPr>
            </w:pPr>
          </w:p>
        </w:tc>
        <w:tc>
          <w:tcPr>
            <w:tcW w:w="3160" w:type="dxa"/>
            <w:tcBorders>
              <w:top w:val="single" w:sz="8" w:space="0" w:color="auto"/>
              <w:left w:val="single" w:sz="4" w:space="0" w:color="FFFFFF" w:themeColor="background1"/>
              <w:bottom w:val="single" w:sz="4" w:space="0" w:color="auto"/>
              <w:right w:val="single" w:sz="4" w:space="0" w:color="FFFFFF" w:themeColor="background1"/>
            </w:tcBorders>
            <w:vAlign w:val="center"/>
          </w:tcPr>
          <w:p w:rsidR="006946CA" w:rsidRPr="0049262F" w:rsidRDefault="006946CA" w:rsidP="006946CA">
            <w:pPr>
              <w:kinsoku w:val="0"/>
              <w:overflowPunct w:val="0"/>
              <w:snapToGrid w:val="0"/>
              <w:jc w:val="center"/>
              <w:rPr>
                <w:rFonts w:hAnsi="ＭＳ 明朝"/>
                <w:sz w:val="18"/>
                <w:szCs w:val="18"/>
              </w:rPr>
            </w:pPr>
            <w:r w:rsidRPr="0049262F">
              <w:rPr>
                <w:rFonts w:hAnsi="ＭＳ 明朝" w:hint="eastAsia"/>
                <w:sz w:val="18"/>
                <w:szCs w:val="18"/>
              </w:rPr>
              <w:t>２</w:t>
            </w:r>
          </w:p>
        </w:tc>
        <w:tc>
          <w:tcPr>
            <w:tcW w:w="284"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6946CA" w:rsidRPr="005724A0" w:rsidRDefault="006946CA" w:rsidP="006946CA">
            <w:pPr>
              <w:kinsoku w:val="0"/>
              <w:overflowPunct w:val="0"/>
              <w:snapToGrid w:val="0"/>
              <w:jc w:val="left"/>
              <w:rPr>
                <w:rFonts w:hAnsi="ＭＳ 明朝"/>
                <w:sz w:val="18"/>
                <w:szCs w:val="18"/>
              </w:rPr>
            </w:pPr>
          </w:p>
        </w:tc>
        <w:tc>
          <w:tcPr>
            <w:tcW w:w="708" w:type="dxa"/>
            <w:gridSpan w:val="2"/>
            <w:vMerge/>
            <w:tcBorders>
              <w:left w:val="single" w:sz="4" w:space="0" w:color="FFFFFF" w:themeColor="background1"/>
              <w:bottom w:val="single" w:sz="4" w:space="0" w:color="auto"/>
            </w:tcBorders>
          </w:tcPr>
          <w:p w:rsidR="006946CA" w:rsidRPr="005724A0" w:rsidRDefault="006946CA" w:rsidP="006946CA">
            <w:pPr>
              <w:kinsoku w:val="0"/>
              <w:overflowPunct w:val="0"/>
              <w:snapToGrid w:val="0"/>
              <w:jc w:val="left"/>
              <w:rPr>
                <w:rFonts w:hAnsi="ＭＳ 明朝"/>
                <w:sz w:val="18"/>
                <w:szCs w:val="18"/>
              </w:rPr>
            </w:pPr>
          </w:p>
        </w:tc>
      </w:tr>
      <w:tr w:rsidR="006946CA" w:rsidRPr="005724A0" w:rsidTr="006946CA">
        <w:trPr>
          <w:trHeight w:val="340"/>
        </w:trPr>
        <w:tc>
          <w:tcPr>
            <w:tcW w:w="283" w:type="dxa"/>
            <w:vMerge/>
          </w:tcPr>
          <w:p w:rsidR="006946CA" w:rsidRPr="0049262F" w:rsidRDefault="006946CA" w:rsidP="006946CA">
            <w:pPr>
              <w:kinsoku w:val="0"/>
              <w:overflowPunct w:val="0"/>
              <w:snapToGrid w:val="0"/>
              <w:jc w:val="left"/>
              <w:rPr>
                <w:rFonts w:hAnsi="ＭＳ 明朝"/>
                <w:sz w:val="18"/>
                <w:szCs w:val="18"/>
              </w:rPr>
            </w:pPr>
          </w:p>
        </w:tc>
        <w:tc>
          <w:tcPr>
            <w:tcW w:w="1282" w:type="dxa"/>
            <w:vMerge/>
            <w:vAlign w:val="center"/>
          </w:tcPr>
          <w:p w:rsidR="006946CA" w:rsidRPr="0049262F" w:rsidRDefault="006946CA" w:rsidP="006946CA">
            <w:pPr>
              <w:kinsoku w:val="0"/>
              <w:overflowPunct w:val="0"/>
              <w:snapToGrid w:val="0"/>
              <w:rPr>
                <w:rFonts w:hAnsi="ＭＳ 明朝"/>
                <w:sz w:val="18"/>
                <w:szCs w:val="18"/>
              </w:rPr>
            </w:pPr>
          </w:p>
        </w:tc>
        <w:tc>
          <w:tcPr>
            <w:tcW w:w="284" w:type="dxa"/>
            <w:vMerge/>
            <w:tcBorders>
              <w:right w:val="single" w:sz="4" w:space="0" w:color="auto"/>
            </w:tcBorders>
            <w:vAlign w:val="center"/>
          </w:tcPr>
          <w:p w:rsidR="006946CA" w:rsidRPr="0049262F" w:rsidRDefault="006946CA" w:rsidP="006946CA">
            <w:pPr>
              <w:kinsoku w:val="0"/>
              <w:overflowPunct w:val="0"/>
              <w:snapToGrid w:val="0"/>
              <w:jc w:val="center"/>
              <w:rPr>
                <w:rFonts w:hAnsi="ＭＳ 明朝"/>
                <w:sz w:val="18"/>
                <w:szCs w:val="18"/>
              </w:rPr>
            </w:pPr>
          </w:p>
        </w:tc>
        <w:tc>
          <w:tcPr>
            <w:tcW w:w="7790" w:type="dxa"/>
            <w:gridSpan w:val="11"/>
            <w:tcBorders>
              <w:top w:val="single" w:sz="4" w:space="0" w:color="auto"/>
              <w:left w:val="single" w:sz="4" w:space="0" w:color="auto"/>
              <w:bottom w:val="single" w:sz="4" w:space="0" w:color="auto"/>
              <w:right w:val="single" w:sz="4" w:space="0" w:color="auto"/>
            </w:tcBorders>
            <w:vAlign w:val="center"/>
          </w:tcPr>
          <w:p w:rsidR="006946CA" w:rsidRPr="005E4DE3" w:rsidRDefault="006946CA" w:rsidP="006946CA">
            <w:pPr>
              <w:kinsoku w:val="0"/>
              <w:overflowPunct w:val="0"/>
              <w:snapToGrid w:val="0"/>
              <w:jc w:val="left"/>
              <w:rPr>
                <w:rFonts w:hAnsi="ＭＳ 明朝"/>
                <w:sz w:val="18"/>
                <w:szCs w:val="18"/>
              </w:rPr>
            </w:pPr>
            <w:r w:rsidRPr="005E4DE3">
              <w:rPr>
                <w:rFonts w:hAnsi="ＭＳ 明朝" w:hint="eastAsia"/>
                <w:sz w:val="18"/>
                <w:szCs w:val="18"/>
              </w:rPr>
              <w:t>経常利益と総資本との割合で、企業全体の収益性を表すものであり、比率の高い方が望ましい。</w:t>
            </w:r>
          </w:p>
        </w:tc>
      </w:tr>
    </w:tbl>
    <w:p w:rsidR="006946CA" w:rsidRDefault="006946CA" w:rsidP="006946CA">
      <w:pPr>
        <w:kinsoku w:val="0"/>
        <w:overflowPunct w:val="0"/>
        <w:snapToGrid w:val="0"/>
        <w:ind w:firstLineChars="50" w:firstLine="78"/>
        <w:jc w:val="left"/>
        <w:rPr>
          <w:rFonts w:hAnsi="ＭＳ 明朝"/>
          <w:sz w:val="18"/>
          <w:szCs w:val="18"/>
        </w:rPr>
      </w:pPr>
    </w:p>
    <w:p w:rsidR="006946CA" w:rsidRPr="00550D4B" w:rsidRDefault="006946CA" w:rsidP="006946CA">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701"/>
        <w:gridCol w:w="283"/>
        <w:gridCol w:w="992"/>
        <w:gridCol w:w="851"/>
        <w:gridCol w:w="850"/>
        <w:gridCol w:w="993"/>
        <w:gridCol w:w="377"/>
        <w:gridCol w:w="2458"/>
        <w:gridCol w:w="708"/>
      </w:tblGrid>
      <w:tr w:rsidR="006946CA" w:rsidRPr="00E22524" w:rsidTr="006946CA">
        <w:trPr>
          <w:trHeight w:val="820"/>
        </w:trPr>
        <w:tc>
          <w:tcPr>
            <w:tcW w:w="2410" w:type="dxa"/>
            <w:gridSpan w:val="3"/>
            <w:vAlign w:val="center"/>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分　析　項　目</w:t>
            </w:r>
          </w:p>
        </w:tc>
        <w:tc>
          <w:tcPr>
            <w:tcW w:w="992" w:type="dxa"/>
            <w:vAlign w:val="center"/>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2</w:t>
            </w:r>
            <w:r>
              <w:rPr>
                <w:rFonts w:hAnsi="ＭＳ 明朝" w:hint="eastAsia"/>
                <w:sz w:val="18"/>
                <w:szCs w:val="18"/>
              </w:rPr>
              <w:t>8</w:t>
            </w:r>
            <w:r w:rsidRPr="00E70C68">
              <w:rPr>
                <w:rFonts w:hAnsi="ＭＳ 明朝" w:hint="eastAsia"/>
                <w:sz w:val="18"/>
                <w:szCs w:val="18"/>
              </w:rPr>
              <w:t>年度</w:t>
            </w:r>
          </w:p>
        </w:tc>
        <w:tc>
          <w:tcPr>
            <w:tcW w:w="851" w:type="dxa"/>
            <w:vAlign w:val="center"/>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2</w:t>
            </w:r>
            <w:r>
              <w:rPr>
                <w:rFonts w:hAnsi="ＭＳ 明朝" w:hint="eastAsia"/>
                <w:sz w:val="18"/>
                <w:szCs w:val="18"/>
              </w:rPr>
              <w:t>7</w:t>
            </w:r>
            <w:r w:rsidRPr="00E70C68">
              <w:rPr>
                <w:rFonts w:hAnsi="ＭＳ 明朝" w:hint="eastAsia"/>
                <w:sz w:val="18"/>
                <w:szCs w:val="18"/>
              </w:rPr>
              <w:t>年度</w:t>
            </w:r>
          </w:p>
        </w:tc>
        <w:tc>
          <w:tcPr>
            <w:tcW w:w="850" w:type="dxa"/>
            <w:vAlign w:val="center"/>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2</w:t>
            </w:r>
            <w:r>
              <w:rPr>
                <w:rFonts w:hAnsi="ＭＳ 明朝" w:hint="eastAsia"/>
                <w:sz w:val="18"/>
                <w:szCs w:val="18"/>
              </w:rPr>
              <w:t>6</w:t>
            </w:r>
            <w:r w:rsidRPr="00E70C68">
              <w:rPr>
                <w:rFonts w:hAnsi="ＭＳ 明朝" w:hint="eastAsia"/>
                <w:sz w:val="18"/>
                <w:szCs w:val="18"/>
              </w:rPr>
              <w:t>年度</w:t>
            </w:r>
          </w:p>
        </w:tc>
        <w:tc>
          <w:tcPr>
            <w:tcW w:w="993" w:type="dxa"/>
            <w:vAlign w:val="center"/>
          </w:tcPr>
          <w:p w:rsidR="006946CA" w:rsidRPr="00E70C68" w:rsidRDefault="006946CA" w:rsidP="006946CA">
            <w:pPr>
              <w:kinsoku w:val="0"/>
              <w:overflowPunct w:val="0"/>
              <w:snapToGrid w:val="0"/>
              <w:spacing w:line="220" w:lineRule="exact"/>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w:t>
            </w:r>
            <w:r w:rsidRPr="005C3330">
              <w:rPr>
                <w:rFonts w:hAnsi="ＭＳ 明朝" w:hint="eastAsia"/>
                <w:sz w:val="18"/>
                <w:szCs w:val="18"/>
              </w:rPr>
              <w:t>27</w:t>
            </w:r>
            <w:r w:rsidRPr="0049262F">
              <w:rPr>
                <w:rFonts w:hAnsi="ＭＳ 明朝" w:hint="eastAsia"/>
                <w:sz w:val="18"/>
                <w:szCs w:val="18"/>
              </w:rPr>
              <w:t>年度</w:t>
            </w:r>
            <w:r>
              <w:rPr>
                <w:rFonts w:hAnsi="ＭＳ 明朝" w:hint="eastAsia"/>
                <w:sz w:val="18"/>
                <w:szCs w:val="18"/>
              </w:rPr>
              <w:t>)</w:t>
            </w:r>
          </w:p>
        </w:tc>
        <w:tc>
          <w:tcPr>
            <w:tcW w:w="3543" w:type="dxa"/>
            <w:gridSpan w:val="3"/>
            <w:vAlign w:val="center"/>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算　　　　　式</w:t>
            </w:r>
          </w:p>
        </w:tc>
      </w:tr>
      <w:tr w:rsidR="006946CA" w:rsidRPr="00E22524" w:rsidTr="006946CA">
        <w:trPr>
          <w:cantSplit/>
          <w:trHeight w:val="283"/>
        </w:trPr>
        <w:tc>
          <w:tcPr>
            <w:tcW w:w="426" w:type="dxa"/>
            <w:vMerge w:val="restart"/>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r w:rsidRPr="00E70C68">
              <w:rPr>
                <w:rFonts w:hAnsi="ＭＳ 明朝" w:hint="eastAsia"/>
                <w:sz w:val="18"/>
                <w:szCs w:val="18"/>
              </w:rPr>
              <w:t>そ　　　　　の　　　　　他</w:t>
            </w:r>
          </w:p>
        </w:tc>
        <w:tc>
          <w:tcPr>
            <w:tcW w:w="1701" w:type="dxa"/>
            <w:vMerge w:val="restart"/>
            <w:vAlign w:val="center"/>
          </w:tcPr>
          <w:p w:rsidR="006946CA" w:rsidRDefault="006946CA" w:rsidP="006946CA">
            <w:pPr>
              <w:kinsoku w:val="0"/>
              <w:overflowPunct w:val="0"/>
              <w:snapToGrid w:val="0"/>
              <w:rPr>
                <w:rFonts w:hAnsi="ＭＳ 明朝"/>
                <w:sz w:val="18"/>
                <w:szCs w:val="18"/>
              </w:rPr>
            </w:pPr>
            <w:r w:rsidRPr="00E70C68">
              <w:rPr>
                <w:rFonts w:hAnsi="ＭＳ 明朝" w:hint="eastAsia"/>
                <w:sz w:val="18"/>
                <w:szCs w:val="18"/>
              </w:rPr>
              <w:t>料金収入に対する</w:t>
            </w:r>
          </w:p>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職員給与費</w:t>
            </w:r>
          </w:p>
        </w:tc>
        <w:tc>
          <w:tcPr>
            <w:tcW w:w="283" w:type="dxa"/>
            <w:vMerge w:val="restart"/>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11.3</w:t>
            </w:r>
          </w:p>
        </w:tc>
        <w:tc>
          <w:tcPr>
            <w:tcW w:w="851"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13.7</w:t>
            </w:r>
          </w:p>
        </w:tc>
        <w:tc>
          <w:tcPr>
            <w:tcW w:w="850"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16.3</w:t>
            </w:r>
          </w:p>
        </w:tc>
        <w:tc>
          <w:tcPr>
            <w:tcW w:w="993"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10.0</w:t>
            </w:r>
          </w:p>
        </w:tc>
        <w:tc>
          <w:tcPr>
            <w:tcW w:w="377" w:type="dxa"/>
            <w:vMerge w:val="restart"/>
            <w:tcBorders>
              <w:right w:val="nil"/>
            </w:tcBorders>
          </w:tcPr>
          <w:p w:rsidR="006946CA" w:rsidRPr="00E70C68" w:rsidRDefault="006946CA" w:rsidP="006946CA">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8" w:type="dxa"/>
            <w:vMerge w:val="restart"/>
            <w:tcBorders>
              <w:left w:val="nil"/>
            </w:tcBorders>
            <w:vAlign w:val="center"/>
          </w:tcPr>
          <w:p w:rsidR="006946CA" w:rsidRPr="00E70C68" w:rsidRDefault="006946CA" w:rsidP="006946CA">
            <w:pPr>
              <w:kinsoku w:val="0"/>
              <w:overflowPunct w:val="0"/>
              <w:snapToGrid w:val="0"/>
              <w:ind w:leftChars="-49" w:left="-106" w:firstLineChars="100" w:firstLine="157"/>
              <w:rPr>
                <w:rFonts w:hAnsi="ＭＳ 明朝"/>
                <w:sz w:val="18"/>
                <w:szCs w:val="18"/>
              </w:rPr>
            </w:pPr>
            <w:r w:rsidRPr="00E70C68">
              <w:rPr>
                <w:rFonts w:hAnsi="ＭＳ 明朝" w:hint="eastAsia"/>
                <w:sz w:val="18"/>
                <w:szCs w:val="18"/>
              </w:rPr>
              <w:t>×100</w:t>
            </w:r>
          </w:p>
        </w:tc>
      </w:tr>
      <w:tr w:rsidR="006946CA" w:rsidRPr="00E22524" w:rsidTr="006946CA">
        <w:trPr>
          <w:cantSplit/>
          <w:trHeight w:val="283"/>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1"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0"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3" w:type="dxa"/>
            <w:vMerge/>
            <w:vAlign w:val="center"/>
          </w:tcPr>
          <w:p w:rsidR="006946CA" w:rsidRPr="00B864A4" w:rsidRDefault="006946CA" w:rsidP="006946CA">
            <w:pPr>
              <w:kinsoku w:val="0"/>
              <w:overflowPunct w:val="0"/>
              <w:snapToGrid w:val="0"/>
              <w:jc w:val="right"/>
              <w:rPr>
                <w:rFonts w:hAnsi="ＭＳ 明朝"/>
                <w:sz w:val="18"/>
                <w:szCs w:val="18"/>
              </w:rPr>
            </w:pPr>
          </w:p>
        </w:tc>
        <w:tc>
          <w:tcPr>
            <w:tcW w:w="377" w:type="dxa"/>
            <w:vMerge/>
            <w:tcBorders>
              <w:right w:val="nil"/>
            </w:tcBorders>
          </w:tcPr>
          <w:p w:rsidR="006946CA" w:rsidRPr="00E70C68" w:rsidRDefault="006946CA" w:rsidP="006946CA">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8" w:type="dxa"/>
            <w:vMerge/>
            <w:tcBorders>
              <w:left w:val="nil"/>
            </w:tcBorders>
          </w:tcPr>
          <w:p w:rsidR="006946CA" w:rsidRPr="00E70C68" w:rsidRDefault="006946CA" w:rsidP="006946CA">
            <w:pPr>
              <w:kinsoku w:val="0"/>
              <w:overflowPunct w:val="0"/>
              <w:snapToGrid w:val="0"/>
              <w:jc w:val="left"/>
              <w:rPr>
                <w:rFonts w:hAnsi="ＭＳ 明朝"/>
                <w:sz w:val="18"/>
                <w:szCs w:val="18"/>
              </w:rPr>
            </w:pPr>
          </w:p>
        </w:tc>
      </w:tr>
      <w:tr w:rsidR="006946CA" w:rsidRPr="00E22524" w:rsidTr="006946CA">
        <w:trPr>
          <w:cantSplit/>
          <w:trHeight w:val="340"/>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7229" w:type="dxa"/>
            <w:gridSpan w:val="7"/>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給水収益に占める職員給与費の割合であり、比率の低い方が望ましい。</w:t>
            </w:r>
          </w:p>
        </w:tc>
      </w:tr>
      <w:tr w:rsidR="006946CA" w:rsidRPr="00E22524" w:rsidTr="006946CA">
        <w:trPr>
          <w:cantSplit/>
          <w:trHeight w:val="283"/>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restart"/>
            <w:vAlign w:val="center"/>
          </w:tcPr>
          <w:p w:rsidR="006946CA" w:rsidRDefault="006946CA" w:rsidP="006946CA">
            <w:pPr>
              <w:kinsoku w:val="0"/>
              <w:overflowPunct w:val="0"/>
              <w:snapToGrid w:val="0"/>
              <w:rPr>
                <w:rFonts w:hAnsi="ＭＳ 明朝"/>
                <w:sz w:val="18"/>
                <w:szCs w:val="18"/>
              </w:rPr>
            </w:pPr>
            <w:r w:rsidRPr="00E70C68">
              <w:rPr>
                <w:rFonts w:hAnsi="ＭＳ 明朝" w:hint="eastAsia"/>
                <w:sz w:val="18"/>
                <w:szCs w:val="18"/>
              </w:rPr>
              <w:t>料金収入に対する</w:t>
            </w:r>
          </w:p>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企業債利息</w:t>
            </w:r>
          </w:p>
        </w:tc>
        <w:tc>
          <w:tcPr>
            <w:tcW w:w="283" w:type="dxa"/>
            <w:vMerge w:val="restart"/>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5.8</w:t>
            </w:r>
          </w:p>
        </w:tc>
        <w:tc>
          <w:tcPr>
            <w:tcW w:w="851"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6.2</w:t>
            </w:r>
          </w:p>
        </w:tc>
        <w:tc>
          <w:tcPr>
            <w:tcW w:w="850"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6.4</w:t>
            </w:r>
          </w:p>
        </w:tc>
        <w:tc>
          <w:tcPr>
            <w:tcW w:w="993"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5.7</w:t>
            </w:r>
          </w:p>
        </w:tc>
        <w:tc>
          <w:tcPr>
            <w:tcW w:w="377" w:type="dxa"/>
            <w:vMerge w:val="restart"/>
            <w:tcBorders>
              <w:right w:val="nil"/>
            </w:tcBorders>
          </w:tcPr>
          <w:p w:rsidR="006946CA" w:rsidRPr="00E70C68" w:rsidRDefault="006946CA" w:rsidP="006946CA">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企　業　債　利　息</w:t>
            </w:r>
          </w:p>
        </w:tc>
        <w:tc>
          <w:tcPr>
            <w:tcW w:w="708" w:type="dxa"/>
            <w:vMerge w:val="restart"/>
            <w:tcBorders>
              <w:left w:val="nil"/>
            </w:tcBorders>
            <w:vAlign w:val="center"/>
          </w:tcPr>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×100</w:t>
            </w:r>
          </w:p>
        </w:tc>
      </w:tr>
      <w:tr w:rsidR="006946CA" w:rsidRPr="00E22524" w:rsidTr="006946CA">
        <w:trPr>
          <w:cantSplit/>
          <w:trHeight w:val="283"/>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1"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0"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3" w:type="dxa"/>
            <w:vMerge/>
            <w:vAlign w:val="center"/>
          </w:tcPr>
          <w:p w:rsidR="006946CA" w:rsidRPr="00B864A4" w:rsidRDefault="006946CA" w:rsidP="006946CA">
            <w:pPr>
              <w:kinsoku w:val="0"/>
              <w:overflowPunct w:val="0"/>
              <w:snapToGrid w:val="0"/>
              <w:jc w:val="right"/>
              <w:rPr>
                <w:rFonts w:hAnsi="ＭＳ 明朝"/>
                <w:sz w:val="18"/>
                <w:szCs w:val="18"/>
              </w:rPr>
            </w:pPr>
          </w:p>
        </w:tc>
        <w:tc>
          <w:tcPr>
            <w:tcW w:w="377" w:type="dxa"/>
            <w:vMerge/>
            <w:tcBorders>
              <w:right w:val="nil"/>
            </w:tcBorders>
          </w:tcPr>
          <w:p w:rsidR="006946CA" w:rsidRPr="00E70C68" w:rsidRDefault="006946CA" w:rsidP="006946CA">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8" w:type="dxa"/>
            <w:vMerge/>
            <w:tcBorders>
              <w:left w:val="nil"/>
            </w:tcBorders>
          </w:tcPr>
          <w:p w:rsidR="006946CA" w:rsidRPr="00E70C68" w:rsidRDefault="006946CA" w:rsidP="006946CA">
            <w:pPr>
              <w:kinsoku w:val="0"/>
              <w:overflowPunct w:val="0"/>
              <w:snapToGrid w:val="0"/>
              <w:jc w:val="left"/>
              <w:rPr>
                <w:rFonts w:hAnsi="ＭＳ 明朝"/>
                <w:sz w:val="18"/>
                <w:szCs w:val="18"/>
              </w:rPr>
            </w:pPr>
          </w:p>
        </w:tc>
      </w:tr>
      <w:tr w:rsidR="006946CA" w:rsidRPr="00E22524" w:rsidTr="006946CA">
        <w:trPr>
          <w:cantSplit/>
          <w:trHeight w:val="340"/>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7229" w:type="dxa"/>
            <w:gridSpan w:val="7"/>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給水収益に占める企業債利息の割合であり、比率の低い方が望ましい。</w:t>
            </w:r>
          </w:p>
        </w:tc>
      </w:tr>
      <w:tr w:rsidR="006946CA" w:rsidRPr="00E22524" w:rsidTr="006946CA">
        <w:trPr>
          <w:cantSplit/>
          <w:trHeight w:val="283"/>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restart"/>
            <w:vAlign w:val="center"/>
          </w:tcPr>
          <w:p w:rsidR="006946CA" w:rsidRDefault="006946CA" w:rsidP="006946CA">
            <w:pPr>
              <w:kinsoku w:val="0"/>
              <w:overflowPunct w:val="0"/>
              <w:snapToGrid w:val="0"/>
              <w:rPr>
                <w:rFonts w:hAnsi="ＭＳ 明朝"/>
                <w:sz w:val="18"/>
                <w:szCs w:val="18"/>
              </w:rPr>
            </w:pPr>
            <w:r w:rsidRPr="00E70C68">
              <w:rPr>
                <w:rFonts w:hAnsi="ＭＳ 明朝" w:hint="eastAsia"/>
                <w:sz w:val="18"/>
                <w:szCs w:val="18"/>
              </w:rPr>
              <w:t>料金収入に対する</w:t>
            </w:r>
          </w:p>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企業債償還金</w:t>
            </w:r>
          </w:p>
        </w:tc>
        <w:tc>
          <w:tcPr>
            <w:tcW w:w="283" w:type="dxa"/>
            <w:vMerge w:val="restart"/>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15.8</w:t>
            </w:r>
          </w:p>
        </w:tc>
        <w:tc>
          <w:tcPr>
            <w:tcW w:w="851"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14.8</w:t>
            </w:r>
          </w:p>
        </w:tc>
        <w:tc>
          <w:tcPr>
            <w:tcW w:w="850"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14.1</w:t>
            </w:r>
          </w:p>
        </w:tc>
        <w:tc>
          <w:tcPr>
            <w:tcW w:w="993"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16.7</w:t>
            </w:r>
          </w:p>
        </w:tc>
        <w:tc>
          <w:tcPr>
            <w:tcW w:w="377" w:type="dxa"/>
            <w:vMerge w:val="restart"/>
            <w:tcBorders>
              <w:right w:val="nil"/>
            </w:tcBorders>
          </w:tcPr>
          <w:p w:rsidR="006946CA" w:rsidRPr="00E70C68" w:rsidRDefault="006946CA" w:rsidP="006946CA">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企　業　債　償　還　金</w:t>
            </w:r>
          </w:p>
        </w:tc>
        <w:tc>
          <w:tcPr>
            <w:tcW w:w="708" w:type="dxa"/>
            <w:vMerge w:val="restart"/>
            <w:tcBorders>
              <w:left w:val="nil"/>
            </w:tcBorders>
            <w:vAlign w:val="center"/>
          </w:tcPr>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×100</w:t>
            </w:r>
          </w:p>
        </w:tc>
      </w:tr>
      <w:tr w:rsidR="006946CA" w:rsidRPr="00E22524" w:rsidTr="006946CA">
        <w:trPr>
          <w:cantSplit/>
          <w:trHeight w:val="283"/>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1"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0"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3" w:type="dxa"/>
            <w:vMerge/>
            <w:vAlign w:val="center"/>
          </w:tcPr>
          <w:p w:rsidR="006946CA" w:rsidRPr="00B864A4" w:rsidRDefault="006946CA" w:rsidP="006946CA">
            <w:pPr>
              <w:kinsoku w:val="0"/>
              <w:overflowPunct w:val="0"/>
              <w:snapToGrid w:val="0"/>
              <w:jc w:val="right"/>
              <w:rPr>
                <w:rFonts w:hAnsi="ＭＳ 明朝"/>
                <w:sz w:val="18"/>
                <w:szCs w:val="18"/>
              </w:rPr>
            </w:pPr>
          </w:p>
        </w:tc>
        <w:tc>
          <w:tcPr>
            <w:tcW w:w="377" w:type="dxa"/>
            <w:vMerge/>
            <w:tcBorders>
              <w:right w:val="nil"/>
            </w:tcBorders>
          </w:tcPr>
          <w:p w:rsidR="006946CA" w:rsidRPr="00E70C68" w:rsidRDefault="006946CA" w:rsidP="006946CA">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8" w:type="dxa"/>
            <w:vMerge/>
            <w:tcBorders>
              <w:left w:val="nil"/>
            </w:tcBorders>
          </w:tcPr>
          <w:p w:rsidR="006946CA" w:rsidRPr="00E70C68" w:rsidRDefault="006946CA" w:rsidP="006946CA">
            <w:pPr>
              <w:kinsoku w:val="0"/>
              <w:overflowPunct w:val="0"/>
              <w:snapToGrid w:val="0"/>
              <w:jc w:val="left"/>
              <w:rPr>
                <w:rFonts w:hAnsi="ＭＳ 明朝"/>
                <w:sz w:val="18"/>
                <w:szCs w:val="18"/>
              </w:rPr>
            </w:pPr>
          </w:p>
        </w:tc>
      </w:tr>
      <w:tr w:rsidR="006946CA" w:rsidRPr="00E22524" w:rsidTr="006946CA">
        <w:trPr>
          <w:cantSplit/>
          <w:trHeight w:val="340"/>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7229" w:type="dxa"/>
            <w:gridSpan w:val="7"/>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給水収益に占める企業債償還金の割合であり、比率の低い方が望ましい。</w:t>
            </w:r>
          </w:p>
        </w:tc>
      </w:tr>
      <w:tr w:rsidR="006946CA" w:rsidRPr="00E22524" w:rsidTr="006946CA">
        <w:trPr>
          <w:cantSplit/>
          <w:trHeight w:val="283"/>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restart"/>
            <w:vAlign w:val="center"/>
          </w:tcPr>
          <w:p w:rsidR="006946CA" w:rsidRDefault="006946CA" w:rsidP="006946CA">
            <w:pPr>
              <w:kinsoku w:val="0"/>
              <w:overflowPunct w:val="0"/>
              <w:snapToGrid w:val="0"/>
              <w:rPr>
                <w:rFonts w:hAnsi="ＭＳ 明朝"/>
                <w:sz w:val="18"/>
                <w:szCs w:val="18"/>
              </w:rPr>
            </w:pPr>
            <w:r w:rsidRPr="00E70C68">
              <w:rPr>
                <w:rFonts w:hAnsi="ＭＳ 明朝" w:hint="eastAsia"/>
                <w:sz w:val="18"/>
                <w:szCs w:val="18"/>
              </w:rPr>
              <w:t>職員１人当たりの</w:t>
            </w:r>
          </w:p>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営業収益</w:t>
            </w:r>
          </w:p>
        </w:tc>
        <w:tc>
          <w:tcPr>
            <w:tcW w:w="283" w:type="dxa"/>
            <w:vMerge w:val="restart"/>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r w:rsidRPr="00E70C68">
              <w:rPr>
                <w:rFonts w:hAnsi="ＭＳ 明朝" w:hint="eastAsia"/>
                <w:sz w:val="18"/>
                <w:szCs w:val="18"/>
              </w:rPr>
              <w:t>千円</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56,680</w:t>
            </w:r>
          </w:p>
        </w:tc>
        <w:tc>
          <w:tcPr>
            <w:tcW w:w="851"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51,119</w:t>
            </w:r>
          </w:p>
        </w:tc>
        <w:tc>
          <w:tcPr>
            <w:tcW w:w="850"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51,052</w:t>
            </w:r>
          </w:p>
        </w:tc>
        <w:tc>
          <w:tcPr>
            <w:tcW w:w="993"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82,140</w:t>
            </w:r>
          </w:p>
        </w:tc>
        <w:tc>
          <w:tcPr>
            <w:tcW w:w="377" w:type="dxa"/>
            <w:vMerge w:val="restart"/>
            <w:tcBorders>
              <w:right w:val="nil"/>
            </w:tcBorders>
          </w:tcPr>
          <w:p w:rsidR="006946CA" w:rsidRPr="00E70C68" w:rsidRDefault="006946CA" w:rsidP="006946CA">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営業収益－受託事業収益</w:t>
            </w:r>
          </w:p>
        </w:tc>
        <w:tc>
          <w:tcPr>
            <w:tcW w:w="708" w:type="dxa"/>
            <w:vMerge w:val="restart"/>
            <w:tcBorders>
              <w:left w:val="nil"/>
            </w:tcBorders>
            <w:vAlign w:val="center"/>
          </w:tcPr>
          <w:p w:rsidR="006946CA" w:rsidRPr="00E70C68" w:rsidRDefault="006946CA" w:rsidP="006946CA">
            <w:pPr>
              <w:kinsoku w:val="0"/>
              <w:overflowPunct w:val="0"/>
              <w:snapToGrid w:val="0"/>
              <w:rPr>
                <w:rFonts w:hAnsi="ＭＳ 明朝"/>
                <w:sz w:val="18"/>
                <w:szCs w:val="18"/>
              </w:rPr>
            </w:pPr>
          </w:p>
        </w:tc>
      </w:tr>
      <w:tr w:rsidR="006946CA" w:rsidRPr="00E22524" w:rsidTr="006946CA">
        <w:trPr>
          <w:cantSplit/>
          <w:trHeight w:val="283"/>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1"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0"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3" w:type="dxa"/>
            <w:vMerge/>
            <w:vAlign w:val="center"/>
          </w:tcPr>
          <w:p w:rsidR="006946CA" w:rsidRPr="00B864A4" w:rsidRDefault="006946CA" w:rsidP="006946CA">
            <w:pPr>
              <w:kinsoku w:val="0"/>
              <w:overflowPunct w:val="0"/>
              <w:snapToGrid w:val="0"/>
              <w:jc w:val="right"/>
              <w:rPr>
                <w:rFonts w:hAnsi="ＭＳ 明朝"/>
                <w:sz w:val="18"/>
                <w:szCs w:val="18"/>
              </w:rPr>
            </w:pPr>
          </w:p>
        </w:tc>
        <w:tc>
          <w:tcPr>
            <w:tcW w:w="377" w:type="dxa"/>
            <w:vMerge/>
            <w:tcBorders>
              <w:right w:val="nil"/>
            </w:tcBorders>
          </w:tcPr>
          <w:p w:rsidR="006946CA" w:rsidRPr="00E70C68" w:rsidRDefault="006946CA" w:rsidP="006946CA">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損益勘定所属職員数</w:t>
            </w:r>
          </w:p>
        </w:tc>
        <w:tc>
          <w:tcPr>
            <w:tcW w:w="708" w:type="dxa"/>
            <w:vMerge/>
            <w:tcBorders>
              <w:left w:val="nil"/>
            </w:tcBorders>
          </w:tcPr>
          <w:p w:rsidR="006946CA" w:rsidRPr="00E70C68" w:rsidRDefault="006946CA" w:rsidP="006946CA">
            <w:pPr>
              <w:kinsoku w:val="0"/>
              <w:overflowPunct w:val="0"/>
              <w:snapToGrid w:val="0"/>
              <w:jc w:val="left"/>
              <w:rPr>
                <w:rFonts w:hAnsi="ＭＳ 明朝"/>
                <w:sz w:val="18"/>
                <w:szCs w:val="18"/>
              </w:rPr>
            </w:pPr>
          </w:p>
        </w:tc>
      </w:tr>
      <w:tr w:rsidR="006946CA" w:rsidRPr="00E22524" w:rsidTr="006946CA">
        <w:trPr>
          <w:cantSplit/>
          <w:trHeight w:val="340"/>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7229" w:type="dxa"/>
            <w:gridSpan w:val="7"/>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職員１人当たりの労働生産性を示すものであり、数値が高いほど効率的な経営であることを示す。</w:t>
            </w:r>
          </w:p>
        </w:tc>
      </w:tr>
      <w:tr w:rsidR="006946CA" w:rsidRPr="00E22524" w:rsidTr="006946CA">
        <w:trPr>
          <w:cantSplit/>
          <w:trHeight w:val="283"/>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restart"/>
            <w:vAlign w:val="center"/>
          </w:tcPr>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有収水量１㎥当たりに対する職員給与費</w:t>
            </w:r>
          </w:p>
        </w:tc>
        <w:tc>
          <w:tcPr>
            <w:tcW w:w="283" w:type="dxa"/>
            <w:vMerge w:val="restart"/>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r w:rsidRPr="00E70C68">
              <w:rPr>
                <w:rFonts w:hAnsi="ＭＳ 明朝" w:hint="eastAsia"/>
                <w:sz w:val="18"/>
                <w:szCs w:val="18"/>
              </w:rPr>
              <w:t>円</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21.41</w:t>
            </w:r>
          </w:p>
        </w:tc>
        <w:tc>
          <w:tcPr>
            <w:tcW w:w="851"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25.82</w:t>
            </w:r>
          </w:p>
        </w:tc>
        <w:tc>
          <w:tcPr>
            <w:tcW w:w="850"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30.79</w:t>
            </w:r>
          </w:p>
        </w:tc>
        <w:tc>
          <w:tcPr>
            <w:tcW w:w="993"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16.54</w:t>
            </w:r>
          </w:p>
        </w:tc>
        <w:tc>
          <w:tcPr>
            <w:tcW w:w="377" w:type="dxa"/>
            <w:vMerge w:val="restart"/>
            <w:tcBorders>
              <w:right w:val="nil"/>
            </w:tcBorders>
          </w:tcPr>
          <w:p w:rsidR="006946CA" w:rsidRPr="00E70C68" w:rsidRDefault="006946CA" w:rsidP="006946CA">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8" w:type="dxa"/>
            <w:vMerge w:val="restart"/>
            <w:tcBorders>
              <w:left w:val="nil"/>
            </w:tcBorders>
            <w:vAlign w:val="center"/>
          </w:tcPr>
          <w:p w:rsidR="006946CA" w:rsidRPr="00E70C68" w:rsidRDefault="006946CA" w:rsidP="006946CA">
            <w:pPr>
              <w:kinsoku w:val="0"/>
              <w:overflowPunct w:val="0"/>
              <w:snapToGrid w:val="0"/>
              <w:rPr>
                <w:rFonts w:hAnsi="ＭＳ 明朝"/>
                <w:sz w:val="18"/>
                <w:szCs w:val="18"/>
              </w:rPr>
            </w:pPr>
          </w:p>
        </w:tc>
      </w:tr>
      <w:tr w:rsidR="006946CA" w:rsidRPr="00E22524" w:rsidTr="006946CA">
        <w:trPr>
          <w:cantSplit/>
          <w:trHeight w:val="283"/>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1"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0"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3" w:type="dxa"/>
            <w:vMerge/>
            <w:vAlign w:val="center"/>
          </w:tcPr>
          <w:p w:rsidR="006946CA" w:rsidRPr="00B864A4" w:rsidRDefault="006946CA" w:rsidP="006946CA">
            <w:pPr>
              <w:kinsoku w:val="0"/>
              <w:overflowPunct w:val="0"/>
              <w:snapToGrid w:val="0"/>
              <w:jc w:val="right"/>
              <w:rPr>
                <w:rFonts w:hAnsi="ＭＳ 明朝"/>
                <w:sz w:val="18"/>
                <w:szCs w:val="18"/>
              </w:rPr>
            </w:pPr>
          </w:p>
        </w:tc>
        <w:tc>
          <w:tcPr>
            <w:tcW w:w="377" w:type="dxa"/>
            <w:vMerge/>
            <w:tcBorders>
              <w:right w:val="nil"/>
            </w:tcBorders>
          </w:tcPr>
          <w:p w:rsidR="006946CA" w:rsidRPr="00E70C68" w:rsidRDefault="006946CA" w:rsidP="006946CA">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有　収　水　量</w:t>
            </w:r>
          </w:p>
        </w:tc>
        <w:tc>
          <w:tcPr>
            <w:tcW w:w="708" w:type="dxa"/>
            <w:vMerge/>
            <w:tcBorders>
              <w:left w:val="nil"/>
            </w:tcBorders>
            <w:vAlign w:val="center"/>
          </w:tcPr>
          <w:p w:rsidR="006946CA" w:rsidRPr="00E70C68" w:rsidRDefault="006946CA" w:rsidP="006946CA">
            <w:pPr>
              <w:kinsoku w:val="0"/>
              <w:overflowPunct w:val="0"/>
              <w:snapToGrid w:val="0"/>
              <w:rPr>
                <w:rFonts w:hAnsi="ＭＳ 明朝"/>
                <w:sz w:val="18"/>
                <w:szCs w:val="18"/>
              </w:rPr>
            </w:pPr>
          </w:p>
        </w:tc>
      </w:tr>
      <w:tr w:rsidR="006946CA" w:rsidRPr="00E22524" w:rsidTr="006946CA">
        <w:trPr>
          <w:cantSplit/>
          <w:trHeight w:val="340"/>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7229" w:type="dxa"/>
            <w:gridSpan w:val="7"/>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１㎥当たりに占める職員給与費を示すものであり、費用構成比と併せて見ることで、効率化を図るべき項目かどうかを判断できるものである。数値が低い方が望ましい。</w:t>
            </w:r>
          </w:p>
        </w:tc>
      </w:tr>
      <w:tr w:rsidR="006946CA" w:rsidRPr="00E22524" w:rsidTr="006946CA">
        <w:trPr>
          <w:cantSplit/>
          <w:trHeight w:val="283"/>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restart"/>
            <w:vAlign w:val="center"/>
          </w:tcPr>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負荷率</w:t>
            </w:r>
          </w:p>
        </w:tc>
        <w:tc>
          <w:tcPr>
            <w:tcW w:w="283" w:type="dxa"/>
            <w:vMerge w:val="restart"/>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86.3</w:t>
            </w:r>
          </w:p>
        </w:tc>
        <w:tc>
          <w:tcPr>
            <w:tcW w:w="851"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83.4</w:t>
            </w:r>
          </w:p>
        </w:tc>
        <w:tc>
          <w:tcPr>
            <w:tcW w:w="850"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86.9</w:t>
            </w:r>
          </w:p>
        </w:tc>
        <w:tc>
          <w:tcPr>
            <w:tcW w:w="993"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85.4</w:t>
            </w:r>
          </w:p>
        </w:tc>
        <w:tc>
          <w:tcPr>
            <w:tcW w:w="377" w:type="dxa"/>
            <w:vMerge w:val="restart"/>
            <w:tcBorders>
              <w:right w:val="nil"/>
            </w:tcBorders>
          </w:tcPr>
          <w:p w:rsidR="006946CA" w:rsidRPr="00E70C68" w:rsidRDefault="006946CA" w:rsidP="006946CA">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708" w:type="dxa"/>
            <w:vMerge w:val="restart"/>
            <w:tcBorders>
              <w:left w:val="nil"/>
            </w:tcBorders>
            <w:vAlign w:val="center"/>
          </w:tcPr>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×100</w:t>
            </w:r>
          </w:p>
        </w:tc>
      </w:tr>
      <w:tr w:rsidR="006946CA" w:rsidRPr="00E22524" w:rsidTr="006946CA">
        <w:trPr>
          <w:cantSplit/>
          <w:trHeight w:val="283"/>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1"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0"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3" w:type="dxa"/>
            <w:vMerge/>
            <w:vAlign w:val="center"/>
          </w:tcPr>
          <w:p w:rsidR="006946CA" w:rsidRPr="00B864A4" w:rsidRDefault="006946CA" w:rsidP="006946CA">
            <w:pPr>
              <w:kinsoku w:val="0"/>
              <w:overflowPunct w:val="0"/>
              <w:snapToGrid w:val="0"/>
              <w:jc w:val="right"/>
              <w:rPr>
                <w:rFonts w:hAnsi="ＭＳ 明朝"/>
                <w:sz w:val="18"/>
                <w:szCs w:val="18"/>
              </w:rPr>
            </w:pPr>
          </w:p>
        </w:tc>
        <w:tc>
          <w:tcPr>
            <w:tcW w:w="377" w:type="dxa"/>
            <w:vMerge/>
            <w:tcBorders>
              <w:right w:val="nil"/>
            </w:tcBorders>
          </w:tcPr>
          <w:p w:rsidR="006946CA" w:rsidRPr="00E70C68" w:rsidRDefault="006946CA" w:rsidP="006946CA">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708" w:type="dxa"/>
            <w:vMerge/>
            <w:tcBorders>
              <w:left w:val="nil"/>
            </w:tcBorders>
          </w:tcPr>
          <w:p w:rsidR="006946CA" w:rsidRPr="00E70C68" w:rsidRDefault="006946CA" w:rsidP="006946CA">
            <w:pPr>
              <w:kinsoku w:val="0"/>
              <w:overflowPunct w:val="0"/>
              <w:snapToGrid w:val="0"/>
              <w:jc w:val="left"/>
              <w:rPr>
                <w:rFonts w:hAnsi="ＭＳ 明朝"/>
                <w:sz w:val="18"/>
                <w:szCs w:val="18"/>
              </w:rPr>
            </w:pPr>
          </w:p>
        </w:tc>
      </w:tr>
      <w:tr w:rsidR="006946CA" w:rsidRPr="00E22524" w:rsidTr="006946CA">
        <w:trPr>
          <w:cantSplit/>
          <w:trHeight w:val="340"/>
        </w:trPr>
        <w:tc>
          <w:tcPr>
            <w:tcW w:w="426"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7229" w:type="dxa"/>
            <w:gridSpan w:val="7"/>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一日平均配水量が一日最大配水</w:t>
            </w:r>
            <w:r>
              <w:rPr>
                <w:rFonts w:hAnsi="ＭＳ 明朝" w:hint="eastAsia"/>
                <w:sz w:val="18"/>
                <w:szCs w:val="18"/>
              </w:rPr>
              <w:t>量に対してどのような割合かを示すものであり、この比率が高いほど</w:t>
            </w:r>
            <w:r w:rsidRPr="00B864A4">
              <w:rPr>
                <w:rFonts w:hAnsi="ＭＳ 明朝" w:hint="eastAsia"/>
                <w:sz w:val="18"/>
                <w:szCs w:val="18"/>
              </w:rPr>
              <w:t>効率が良いことを示す。</w:t>
            </w:r>
          </w:p>
        </w:tc>
      </w:tr>
      <w:tr w:rsidR="006946CA" w:rsidRPr="00E22524" w:rsidTr="006946CA">
        <w:trPr>
          <w:trHeight w:val="283"/>
        </w:trPr>
        <w:tc>
          <w:tcPr>
            <w:tcW w:w="426" w:type="dxa"/>
            <w:vMerge/>
          </w:tcPr>
          <w:p w:rsidR="006946CA" w:rsidRPr="00E70C68" w:rsidRDefault="006946CA" w:rsidP="006946CA">
            <w:pPr>
              <w:kinsoku w:val="0"/>
              <w:overflowPunct w:val="0"/>
              <w:snapToGrid w:val="0"/>
              <w:spacing w:line="362" w:lineRule="exact"/>
              <w:jc w:val="left"/>
              <w:rPr>
                <w:rFonts w:hAnsi="ＭＳ 明朝"/>
                <w:sz w:val="18"/>
                <w:szCs w:val="18"/>
              </w:rPr>
            </w:pPr>
          </w:p>
        </w:tc>
        <w:tc>
          <w:tcPr>
            <w:tcW w:w="1701" w:type="dxa"/>
            <w:vMerge w:val="restart"/>
            <w:vAlign w:val="center"/>
          </w:tcPr>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施設利用率</w:t>
            </w:r>
          </w:p>
        </w:tc>
        <w:tc>
          <w:tcPr>
            <w:tcW w:w="283" w:type="dxa"/>
            <w:vMerge w:val="restart"/>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57.6</w:t>
            </w:r>
          </w:p>
        </w:tc>
        <w:tc>
          <w:tcPr>
            <w:tcW w:w="851"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57.9</w:t>
            </w:r>
          </w:p>
        </w:tc>
        <w:tc>
          <w:tcPr>
            <w:tcW w:w="850"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58.1</w:t>
            </w:r>
          </w:p>
        </w:tc>
        <w:tc>
          <w:tcPr>
            <w:tcW w:w="993"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62.3</w:t>
            </w:r>
          </w:p>
        </w:tc>
        <w:tc>
          <w:tcPr>
            <w:tcW w:w="377" w:type="dxa"/>
            <w:vMerge w:val="restart"/>
            <w:tcBorders>
              <w:right w:val="nil"/>
            </w:tcBorders>
          </w:tcPr>
          <w:p w:rsidR="006946CA" w:rsidRPr="00E70C68" w:rsidRDefault="006946CA" w:rsidP="006946CA">
            <w:pPr>
              <w:kinsoku w:val="0"/>
              <w:overflowPunct w:val="0"/>
              <w:snapToGrid w:val="0"/>
              <w:spacing w:line="362" w:lineRule="exact"/>
              <w:jc w:val="left"/>
              <w:rPr>
                <w:rFonts w:hAnsi="ＭＳ 明朝"/>
                <w:sz w:val="18"/>
                <w:szCs w:val="18"/>
              </w:rPr>
            </w:pPr>
          </w:p>
        </w:tc>
        <w:tc>
          <w:tcPr>
            <w:tcW w:w="2458" w:type="dxa"/>
            <w:tcBorders>
              <w:left w:val="nil"/>
              <w:bottom w:val="single" w:sz="8" w:space="0" w:color="auto"/>
              <w:right w:val="nil"/>
            </w:tcBorders>
            <w:vAlign w:val="bottom"/>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708" w:type="dxa"/>
            <w:vMerge w:val="restart"/>
            <w:tcBorders>
              <w:left w:val="nil"/>
            </w:tcBorders>
            <w:vAlign w:val="center"/>
          </w:tcPr>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×100</w:t>
            </w:r>
          </w:p>
        </w:tc>
      </w:tr>
      <w:tr w:rsidR="006946CA" w:rsidRPr="00E22524" w:rsidTr="006946CA">
        <w:trPr>
          <w:trHeight w:val="283"/>
        </w:trPr>
        <w:tc>
          <w:tcPr>
            <w:tcW w:w="426" w:type="dxa"/>
            <w:vMerge/>
          </w:tcPr>
          <w:p w:rsidR="006946CA" w:rsidRPr="00E70C68" w:rsidRDefault="006946CA" w:rsidP="006946CA">
            <w:pPr>
              <w:kinsoku w:val="0"/>
              <w:overflowPunct w:val="0"/>
              <w:snapToGrid w:val="0"/>
              <w:spacing w:line="362" w:lineRule="exact"/>
              <w:jc w:val="left"/>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992"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1" w:type="dxa"/>
            <w:vMerge/>
            <w:vAlign w:val="center"/>
          </w:tcPr>
          <w:p w:rsidR="006946CA" w:rsidRPr="00B864A4" w:rsidRDefault="006946CA" w:rsidP="006946CA">
            <w:pPr>
              <w:kinsoku w:val="0"/>
              <w:overflowPunct w:val="0"/>
              <w:snapToGrid w:val="0"/>
              <w:jc w:val="right"/>
              <w:rPr>
                <w:rFonts w:hAnsi="ＭＳ 明朝"/>
                <w:sz w:val="18"/>
                <w:szCs w:val="18"/>
              </w:rPr>
            </w:pPr>
          </w:p>
        </w:tc>
        <w:tc>
          <w:tcPr>
            <w:tcW w:w="850" w:type="dxa"/>
            <w:vMerge/>
            <w:vAlign w:val="center"/>
          </w:tcPr>
          <w:p w:rsidR="006946CA" w:rsidRPr="00B864A4" w:rsidRDefault="006946CA" w:rsidP="006946CA">
            <w:pPr>
              <w:kinsoku w:val="0"/>
              <w:overflowPunct w:val="0"/>
              <w:snapToGrid w:val="0"/>
              <w:jc w:val="right"/>
              <w:rPr>
                <w:rFonts w:hAnsi="ＭＳ 明朝"/>
                <w:sz w:val="18"/>
                <w:szCs w:val="18"/>
              </w:rPr>
            </w:pPr>
          </w:p>
        </w:tc>
        <w:tc>
          <w:tcPr>
            <w:tcW w:w="993" w:type="dxa"/>
            <w:vMerge/>
            <w:vAlign w:val="center"/>
          </w:tcPr>
          <w:p w:rsidR="006946CA" w:rsidRPr="00B864A4" w:rsidRDefault="006946CA" w:rsidP="006946CA">
            <w:pPr>
              <w:kinsoku w:val="0"/>
              <w:overflowPunct w:val="0"/>
              <w:snapToGrid w:val="0"/>
              <w:jc w:val="right"/>
              <w:rPr>
                <w:rFonts w:hAnsi="ＭＳ 明朝"/>
                <w:sz w:val="18"/>
                <w:szCs w:val="18"/>
              </w:rPr>
            </w:pPr>
          </w:p>
        </w:tc>
        <w:tc>
          <w:tcPr>
            <w:tcW w:w="377" w:type="dxa"/>
            <w:vMerge/>
            <w:tcBorders>
              <w:right w:val="nil"/>
            </w:tcBorders>
          </w:tcPr>
          <w:p w:rsidR="006946CA" w:rsidRPr="00E70C68" w:rsidRDefault="006946CA" w:rsidP="006946CA">
            <w:pPr>
              <w:kinsoku w:val="0"/>
              <w:overflowPunct w:val="0"/>
              <w:snapToGrid w:val="0"/>
              <w:spacing w:line="362" w:lineRule="exact"/>
              <w:jc w:val="left"/>
              <w:rPr>
                <w:rFonts w:hAnsi="ＭＳ 明朝"/>
                <w:sz w:val="18"/>
                <w:szCs w:val="18"/>
              </w:rPr>
            </w:pPr>
          </w:p>
        </w:tc>
        <w:tc>
          <w:tcPr>
            <w:tcW w:w="2458" w:type="dxa"/>
            <w:tcBorders>
              <w:top w:val="single" w:sz="8" w:space="0" w:color="auto"/>
              <w:left w:val="nil"/>
              <w:right w:val="nil"/>
            </w:tcBorders>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708" w:type="dxa"/>
            <w:vMerge/>
            <w:tcBorders>
              <w:left w:val="nil"/>
            </w:tcBorders>
            <w:vAlign w:val="center"/>
          </w:tcPr>
          <w:p w:rsidR="006946CA" w:rsidRPr="00E70C68" w:rsidRDefault="006946CA" w:rsidP="006946CA">
            <w:pPr>
              <w:kinsoku w:val="0"/>
              <w:overflowPunct w:val="0"/>
              <w:snapToGrid w:val="0"/>
              <w:spacing w:line="362" w:lineRule="exact"/>
              <w:rPr>
                <w:rFonts w:hAnsi="ＭＳ 明朝"/>
                <w:sz w:val="18"/>
                <w:szCs w:val="18"/>
              </w:rPr>
            </w:pPr>
          </w:p>
        </w:tc>
      </w:tr>
      <w:tr w:rsidR="006946CA" w:rsidRPr="00E22524" w:rsidTr="006946CA">
        <w:trPr>
          <w:trHeight w:val="340"/>
        </w:trPr>
        <w:tc>
          <w:tcPr>
            <w:tcW w:w="426" w:type="dxa"/>
            <w:vMerge/>
          </w:tcPr>
          <w:p w:rsidR="006946CA" w:rsidRPr="00E70C68" w:rsidRDefault="006946CA" w:rsidP="006946CA">
            <w:pPr>
              <w:kinsoku w:val="0"/>
              <w:overflowPunct w:val="0"/>
              <w:snapToGrid w:val="0"/>
              <w:spacing w:line="362" w:lineRule="exact"/>
              <w:jc w:val="left"/>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p>
        </w:tc>
        <w:tc>
          <w:tcPr>
            <w:tcW w:w="7229" w:type="dxa"/>
            <w:gridSpan w:val="7"/>
            <w:vAlign w:val="center"/>
          </w:tcPr>
          <w:p w:rsidR="006946CA" w:rsidRPr="00B864A4" w:rsidRDefault="006946CA" w:rsidP="006946CA">
            <w:pPr>
              <w:kinsoku w:val="0"/>
              <w:overflowPunct w:val="0"/>
              <w:snapToGrid w:val="0"/>
              <w:jc w:val="left"/>
              <w:rPr>
                <w:rFonts w:hAnsi="ＭＳ 明朝"/>
                <w:sz w:val="18"/>
                <w:szCs w:val="18"/>
              </w:rPr>
            </w:pPr>
            <w:r w:rsidRPr="00B864A4">
              <w:rPr>
                <w:rFonts w:hAnsi="ＭＳ 明朝" w:hint="eastAsia"/>
                <w:sz w:val="18"/>
                <w:szCs w:val="18"/>
              </w:rPr>
              <w:t>配水能力に対して一日平均どれ</w:t>
            </w:r>
            <w:r>
              <w:rPr>
                <w:rFonts w:hAnsi="ＭＳ 明朝" w:hint="eastAsia"/>
                <w:sz w:val="18"/>
                <w:szCs w:val="18"/>
              </w:rPr>
              <w:t>だけの配水量が利用されたかを示すものであり、この比率が高いほど</w:t>
            </w:r>
            <w:r w:rsidRPr="00B864A4">
              <w:rPr>
                <w:rFonts w:hAnsi="ＭＳ 明朝" w:hint="eastAsia"/>
                <w:sz w:val="18"/>
                <w:szCs w:val="18"/>
              </w:rPr>
              <w:t>効率が良いことを示す。</w:t>
            </w:r>
          </w:p>
        </w:tc>
      </w:tr>
      <w:tr w:rsidR="006946CA" w:rsidRPr="00E22524" w:rsidTr="006946CA">
        <w:trPr>
          <w:trHeight w:val="283"/>
        </w:trPr>
        <w:tc>
          <w:tcPr>
            <w:tcW w:w="426" w:type="dxa"/>
            <w:vMerge/>
          </w:tcPr>
          <w:p w:rsidR="006946CA" w:rsidRPr="00E70C68" w:rsidRDefault="006946CA" w:rsidP="006946CA">
            <w:pPr>
              <w:kinsoku w:val="0"/>
              <w:overflowPunct w:val="0"/>
              <w:snapToGrid w:val="0"/>
              <w:spacing w:line="362" w:lineRule="exact"/>
              <w:jc w:val="left"/>
              <w:rPr>
                <w:rFonts w:hAnsi="ＭＳ 明朝"/>
                <w:sz w:val="18"/>
                <w:szCs w:val="18"/>
              </w:rPr>
            </w:pPr>
          </w:p>
        </w:tc>
        <w:tc>
          <w:tcPr>
            <w:tcW w:w="1701" w:type="dxa"/>
            <w:vMerge w:val="restart"/>
            <w:vAlign w:val="center"/>
          </w:tcPr>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最大稼働率</w:t>
            </w:r>
          </w:p>
        </w:tc>
        <w:tc>
          <w:tcPr>
            <w:tcW w:w="283" w:type="dxa"/>
            <w:vMerge w:val="restart"/>
            <w:textDirection w:val="tbRlV"/>
            <w:vAlign w:val="center"/>
          </w:tcPr>
          <w:p w:rsidR="006946CA" w:rsidRPr="00E70C68" w:rsidRDefault="006946CA" w:rsidP="006946C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66.8</w:t>
            </w:r>
          </w:p>
        </w:tc>
        <w:tc>
          <w:tcPr>
            <w:tcW w:w="851"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69.5</w:t>
            </w:r>
          </w:p>
        </w:tc>
        <w:tc>
          <w:tcPr>
            <w:tcW w:w="850"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66.9</w:t>
            </w:r>
          </w:p>
        </w:tc>
        <w:tc>
          <w:tcPr>
            <w:tcW w:w="993" w:type="dxa"/>
            <w:vMerge w:val="restart"/>
            <w:vAlign w:val="center"/>
          </w:tcPr>
          <w:p w:rsidR="006946CA" w:rsidRPr="00B864A4" w:rsidRDefault="006946CA" w:rsidP="006946CA">
            <w:pPr>
              <w:kinsoku w:val="0"/>
              <w:overflowPunct w:val="0"/>
              <w:snapToGrid w:val="0"/>
              <w:jc w:val="right"/>
              <w:rPr>
                <w:rFonts w:hAnsi="ＭＳ 明朝"/>
                <w:sz w:val="18"/>
                <w:szCs w:val="18"/>
              </w:rPr>
            </w:pPr>
            <w:r w:rsidRPr="00B864A4">
              <w:rPr>
                <w:rFonts w:hAnsi="ＭＳ 明朝" w:hint="eastAsia"/>
                <w:sz w:val="18"/>
                <w:szCs w:val="18"/>
              </w:rPr>
              <w:t>72.9</w:t>
            </w:r>
          </w:p>
        </w:tc>
        <w:tc>
          <w:tcPr>
            <w:tcW w:w="377" w:type="dxa"/>
            <w:vMerge w:val="restart"/>
            <w:tcBorders>
              <w:right w:val="nil"/>
            </w:tcBorders>
          </w:tcPr>
          <w:p w:rsidR="006946CA" w:rsidRPr="00E70C68" w:rsidRDefault="006946CA" w:rsidP="006946CA">
            <w:pPr>
              <w:kinsoku w:val="0"/>
              <w:overflowPunct w:val="0"/>
              <w:snapToGrid w:val="0"/>
              <w:spacing w:line="362" w:lineRule="exact"/>
              <w:jc w:val="left"/>
              <w:rPr>
                <w:rFonts w:hAnsi="ＭＳ 明朝"/>
                <w:sz w:val="18"/>
                <w:szCs w:val="18"/>
              </w:rPr>
            </w:pPr>
          </w:p>
        </w:tc>
        <w:tc>
          <w:tcPr>
            <w:tcW w:w="2458" w:type="dxa"/>
            <w:tcBorders>
              <w:left w:val="nil"/>
              <w:bottom w:val="single" w:sz="8" w:space="0" w:color="auto"/>
              <w:right w:val="nil"/>
            </w:tcBorders>
            <w:vAlign w:val="bottom"/>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708" w:type="dxa"/>
            <w:vMerge w:val="restart"/>
            <w:tcBorders>
              <w:left w:val="nil"/>
            </w:tcBorders>
            <w:vAlign w:val="center"/>
          </w:tcPr>
          <w:p w:rsidR="006946CA" w:rsidRPr="00E70C68" w:rsidRDefault="006946CA" w:rsidP="006946CA">
            <w:pPr>
              <w:kinsoku w:val="0"/>
              <w:overflowPunct w:val="0"/>
              <w:snapToGrid w:val="0"/>
              <w:rPr>
                <w:rFonts w:hAnsi="ＭＳ 明朝"/>
                <w:sz w:val="18"/>
                <w:szCs w:val="18"/>
              </w:rPr>
            </w:pPr>
            <w:r w:rsidRPr="00E70C68">
              <w:rPr>
                <w:rFonts w:hAnsi="ＭＳ 明朝" w:hint="eastAsia"/>
                <w:sz w:val="18"/>
                <w:szCs w:val="18"/>
              </w:rPr>
              <w:t>×100</w:t>
            </w:r>
          </w:p>
        </w:tc>
      </w:tr>
      <w:tr w:rsidR="006946CA" w:rsidRPr="00E22524" w:rsidTr="006946CA">
        <w:trPr>
          <w:trHeight w:val="283"/>
        </w:trPr>
        <w:tc>
          <w:tcPr>
            <w:tcW w:w="426" w:type="dxa"/>
            <w:vMerge/>
          </w:tcPr>
          <w:p w:rsidR="006946CA" w:rsidRPr="00E70C68" w:rsidRDefault="006946CA" w:rsidP="006946CA">
            <w:pPr>
              <w:kinsoku w:val="0"/>
              <w:overflowPunct w:val="0"/>
              <w:snapToGrid w:val="0"/>
              <w:spacing w:line="362" w:lineRule="exact"/>
              <w:jc w:val="left"/>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vAlign w:val="center"/>
          </w:tcPr>
          <w:p w:rsidR="006946CA" w:rsidRPr="00E70C68" w:rsidRDefault="006946CA" w:rsidP="006946CA">
            <w:pPr>
              <w:kinsoku w:val="0"/>
              <w:overflowPunct w:val="0"/>
              <w:snapToGrid w:val="0"/>
              <w:jc w:val="center"/>
              <w:rPr>
                <w:rFonts w:hAnsi="ＭＳ 明朝"/>
                <w:sz w:val="18"/>
                <w:szCs w:val="18"/>
              </w:rPr>
            </w:pPr>
          </w:p>
        </w:tc>
        <w:tc>
          <w:tcPr>
            <w:tcW w:w="992" w:type="dxa"/>
            <w:vMerge/>
            <w:tcBorders>
              <w:bottom w:val="single" w:sz="4" w:space="0" w:color="auto"/>
            </w:tcBorders>
            <w:vAlign w:val="center"/>
          </w:tcPr>
          <w:p w:rsidR="006946CA" w:rsidRPr="00E70C68" w:rsidRDefault="006946CA" w:rsidP="006946CA">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6946CA" w:rsidRPr="00E70C68" w:rsidRDefault="006946CA" w:rsidP="006946CA">
            <w:pPr>
              <w:kinsoku w:val="0"/>
              <w:overflowPunct w:val="0"/>
              <w:snapToGrid w:val="0"/>
              <w:jc w:val="right"/>
              <w:rPr>
                <w:rFonts w:hAnsi="ＭＳ 明朝"/>
                <w:sz w:val="18"/>
                <w:szCs w:val="18"/>
              </w:rPr>
            </w:pPr>
          </w:p>
        </w:tc>
        <w:tc>
          <w:tcPr>
            <w:tcW w:w="850" w:type="dxa"/>
            <w:vMerge/>
            <w:tcBorders>
              <w:bottom w:val="single" w:sz="4" w:space="0" w:color="auto"/>
            </w:tcBorders>
            <w:vAlign w:val="center"/>
          </w:tcPr>
          <w:p w:rsidR="006946CA" w:rsidRPr="00E70C68" w:rsidRDefault="006946CA" w:rsidP="006946CA">
            <w:pPr>
              <w:kinsoku w:val="0"/>
              <w:overflowPunct w:val="0"/>
              <w:snapToGrid w:val="0"/>
              <w:jc w:val="right"/>
              <w:rPr>
                <w:rFonts w:hAnsi="ＭＳ 明朝"/>
                <w:sz w:val="18"/>
                <w:szCs w:val="18"/>
              </w:rPr>
            </w:pPr>
          </w:p>
        </w:tc>
        <w:tc>
          <w:tcPr>
            <w:tcW w:w="993" w:type="dxa"/>
            <w:vMerge/>
            <w:tcBorders>
              <w:bottom w:val="single" w:sz="4" w:space="0" w:color="auto"/>
            </w:tcBorders>
            <w:vAlign w:val="center"/>
          </w:tcPr>
          <w:p w:rsidR="006946CA" w:rsidRPr="00E70C68" w:rsidRDefault="006946CA" w:rsidP="006946CA">
            <w:pPr>
              <w:kinsoku w:val="0"/>
              <w:overflowPunct w:val="0"/>
              <w:snapToGrid w:val="0"/>
              <w:jc w:val="right"/>
              <w:rPr>
                <w:rFonts w:hAnsi="ＭＳ 明朝"/>
                <w:sz w:val="18"/>
                <w:szCs w:val="18"/>
              </w:rPr>
            </w:pPr>
          </w:p>
        </w:tc>
        <w:tc>
          <w:tcPr>
            <w:tcW w:w="377" w:type="dxa"/>
            <w:vMerge/>
            <w:tcBorders>
              <w:bottom w:val="single" w:sz="4" w:space="0" w:color="auto"/>
              <w:right w:val="nil"/>
            </w:tcBorders>
          </w:tcPr>
          <w:p w:rsidR="006946CA" w:rsidRPr="00E70C68" w:rsidRDefault="006946CA" w:rsidP="006946CA">
            <w:pPr>
              <w:kinsoku w:val="0"/>
              <w:overflowPunct w:val="0"/>
              <w:snapToGrid w:val="0"/>
              <w:spacing w:line="362" w:lineRule="exact"/>
              <w:jc w:val="left"/>
              <w:rPr>
                <w:rFonts w:hAnsi="ＭＳ 明朝"/>
                <w:sz w:val="18"/>
                <w:szCs w:val="18"/>
              </w:rPr>
            </w:pPr>
          </w:p>
        </w:tc>
        <w:tc>
          <w:tcPr>
            <w:tcW w:w="2458" w:type="dxa"/>
            <w:tcBorders>
              <w:top w:val="single" w:sz="8" w:space="0" w:color="auto"/>
              <w:left w:val="nil"/>
              <w:bottom w:val="single" w:sz="4" w:space="0" w:color="auto"/>
              <w:right w:val="nil"/>
            </w:tcBorders>
          </w:tcPr>
          <w:p w:rsidR="006946CA" w:rsidRPr="00E70C68" w:rsidRDefault="006946CA" w:rsidP="006946CA">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708" w:type="dxa"/>
            <w:vMerge/>
            <w:tcBorders>
              <w:left w:val="nil"/>
              <w:bottom w:val="single" w:sz="4" w:space="0" w:color="auto"/>
            </w:tcBorders>
          </w:tcPr>
          <w:p w:rsidR="006946CA" w:rsidRPr="00E70C68" w:rsidRDefault="006946CA" w:rsidP="006946CA">
            <w:pPr>
              <w:kinsoku w:val="0"/>
              <w:overflowPunct w:val="0"/>
              <w:snapToGrid w:val="0"/>
              <w:spacing w:line="362" w:lineRule="exact"/>
              <w:jc w:val="left"/>
              <w:rPr>
                <w:rFonts w:hAnsi="ＭＳ 明朝"/>
                <w:sz w:val="18"/>
                <w:szCs w:val="18"/>
              </w:rPr>
            </w:pPr>
          </w:p>
        </w:tc>
      </w:tr>
      <w:tr w:rsidR="006946CA" w:rsidRPr="00E22524" w:rsidTr="006946CA">
        <w:trPr>
          <w:trHeight w:val="340"/>
        </w:trPr>
        <w:tc>
          <w:tcPr>
            <w:tcW w:w="426" w:type="dxa"/>
            <w:vMerge/>
          </w:tcPr>
          <w:p w:rsidR="006946CA" w:rsidRPr="00E70C68" w:rsidRDefault="006946CA" w:rsidP="006946CA">
            <w:pPr>
              <w:kinsoku w:val="0"/>
              <w:overflowPunct w:val="0"/>
              <w:snapToGrid w:val="0"/>
              <w:spacing w:line="362" w:lineRule="exact"/>
              <w:jc w:val="left"/>
              <w:rPr>
                <w:rFonts w:hAnsi="ＭＳ 明朝"/>
                <w:sz w:val="18"/>
                <w:szCs w:val="18"/>
              </w:rPr>
            </w:pPr>
          </w:p>
        </w:tc>
        <w:tc>
          <w:tcPr>
            <w:tcW w:w="1701" w:type="dxa"/>
            <w:vMerge/>
            <w:vAlign w:val="center"/>
          </w:tcPr>
          <w:p w:rsidR="006946CA" w:rsidRPr="00E70C68" w:rsidRDefault="006946CA" w:rsidP="006946CA">
            <w:pPr>
              <w:kinsoku w:val="0"/>
              <w:overflowPunct w:val="0"/>
              <w:snapToGrid w:val="0"/>
              <w:rPr>
                <w:rFonts w:hAnsi="ＭＳ 明朝"/>
                <w:sz w:val="18"/>
                <w:szCs w:val="18"/>
              </w:rPr>
            </w:pPr>
          </w:p>
        </w:tc>
        <w:tc>
          <w:tcPr>
            <w:tcW w:w="283" w:type="dxa"/>
            <w:vMerge/>
            <w:tcBorders>
              <w:right w:val="single" w:sz="4" w:space="0" w:color="auto"/>
            </w:tcBorders>
            <w:vAlign w:val="center"/>
          </w:tcPr>
          <w:p w:rsidR="006946CA" w:rsidRPr="00E70C68" w:rsidRDefault="006946CA" w:rsidP="006946CA">
            <w:pPr>
              <w:kinsoku w:val="0"/>
              <w:overflowPunct w:val="0"/>
              <w:snapToGrid w:val="0"/>
              <w:jc w:val="center"/>
              <w:rPr>
                <w:rFonts w:hAnsi="ＭＳ 明朝"/>
                <w:sz w:val="18"/>
                <w:szCs w:val="18"/>
              </w:rPr>
            </w:pPr>
          </w:p>
        </w:tc>
        <w:tc>
          <w:tcPr>
            <w:tcW w:w="7229" w:type="dxa"/>
            <w:gridSpan w:val="7"/>
            <w:tcBorders>
              <w:top w:val="single" w:sz="4" w:space="0" w:color="auto"/>
              <w:left w:val="single" w:sz="4" w:space="0" w:color="auto"/>
              <w:bottom w:val="single" w:sz="4" w:space="0" w:color="auto"/>
              <w:right w:val="single" w:sz="4" w:space="0" w:color="auto"/>
            </w:tcBorders>
            <w:vAlign w:val="center"/>
          </w:tcPr>
          <w:p w:rsidR="006946CA" w:rsidRPr="00E70C68" w:rsidRDefault="006946CA" w:rsidP="006946CA">
            <w:pPr>
              <w:kinsoku w:val="0"/>
              <w:overflowPunct w:val="0"/>
              <w:snapToGrid w:val="0"/>
              <w:jc w:val="left"/>
              <w:rPr>
                <w:rFonts w:hAnsi="ＭＳ 明朝"/>
                <w:sz w:val="18"/>
                <w:szCs w:val="18"/>
              </w:rPr>
            </w:pPr>
            <w:r w:rsidRPr="00E70C68">
              <w:rPr>
                <w:rFonts w:hAnsi="ＭＳ 明朝" w:hint="eastAsia"/>
                <w:sz w:val="18"/>
                <w:szCs w:val="18"/>
              </w:rPr>
              <w:t>この比率が高くなれば、配水能力を向上させる必要が生まれ、低くなれば、まだ能力に余裕があることを示す。</w:t>
            </w:r>
          </w:p>
        </w:tc>
      </w:tr>
    </w:tbl>
    <w:p w:rsidR="006946CA" w:rsidRPr="00F752A7" w:rsidRDefault="006946CA" w:rsidP="006946CA">
      <w:pPr>
        <w:kinsoku w:val="0"/>
        <w:overflowPunct w:val="0"/>
        <w:snapToGrid w:val="0"/>
        <w:jc w:val="left"/>
        <w:rPr>
          <w:rFonts w:hAnsi="ＭＳ 明朝"/>
          <w:sz w:val="18"/>
          <w:szCs w:val="18"/>
        </w:rPr>
      </w:pPr>
      <w:r>
        <w:rPr>
          <w:rFonts w:hAnsi="ＭＳ 明朝" w:hint="eastAsia"/>
          <w:sz w:val="18"/>
          <w:szCs w:val="18"/>
        </w:rPr>
        <w:t xml:space="preserve"> </w:t>
      </w: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6946CA" w:rsidRDefault="006946CA" w:rsidP="006946CA">
      <w:pPr>
        <w:kinsoku w:val="0"/>
        <w:overflowPunct w:val="0"/>
        <w:snapToGrid w:val="0"/>
        <w:rPr>
          <w:rFonts w:hAnsi="ＭＳ 明朝"/>
          <w:sz w:val="18"/>
          <w:szCs w:val="18"/>
        </w:rPr>
      </w:pPr>
      <w:r w:rsidRPr="00F752A7">
        <w:rPr>
          <w:rFonts w:hAnsi="ＭＳ 明朝" w:hint="eastAsia"/>
          <w:sz w:val="18"/>
          <w:szCs w:val="18"/>
        </w:rPr>
        <w:t xml:space="preserve">　　　  ２　全国平均は、</w:t>
      </w:r>
      <w:r>
        <w:rPr>
          <w:rFonts w:hAnsi="ＭＳ 明朝" w:hint="eastAsia"/>
          <w:sz w:val="18"/>
          <w:szCs w:val="18"/>
        </w:rPr>
        <w:t>総務省自治財政局編</w:t>
      </w:r>
      <w:r w:rsidRPr="00F752A7">
        <w:rPr>
          <w:rFonts w:hAnsi="ＭＳ 明朝" w:hint="eastAsia"/>
          <w:sz w:val="18"/>
          <w:szCs w:val="18"/>
        </w:rPr>
        <w:t>「平成</w:t>
      </w:r>
      <w:r w:rsidRPr="004C63CC">
        <w:rPr>
          <w:rFonts w:hAnsi="ＭＳ 明朝" w:hint="eastAsia"/>
          <w:sz w:val="18"/>
          <w:szCs w:val="18"/>
        </w:rPr>
        <w:t>27</w:t>
      </w:r>
      <w:r w:rsidRPr="00F752A7">
        <w:rPr>
          <w:rFonts w:hAnsi="ＭＳ 明朝" w:hint="eastAsia"/>
          <w:sz w:val="18"/>
          <w:szCs w:val="18"/>
        </w:rPr>
        <w:t>年度</w:t>
      </w:r>
      <w:r>
        <w:rPr>
          <w:rFonts w:hAnsi="ＭＳ 明朝" w:hint="eastAsia"/>
          <w:sz w:val="18"/>
          <w:szCs w:val="18"/>
        </w:rPr>
        <w:t>及び平成</w:t>
      </w:r>
      <w:r w:rsidRPr="004C63CC">
        <w:rPr>
          <w:rFonts w:hAnsi="ＭＳ 明朝" w:hint="eastAsia"/>
          <w:sz w:val="18"/>
          <w:szCs w:val="18"/>
        </w:rPr>
        <w:t>26</w:t>
      </w:r>
      <w:r>
        <w:rPr>
          <w:rFonts w:hAnsi="ＭＳ 明朝" w:hint="eastAsia"/>
          <w:sz w:val="18"/>
          <w:szCs w:val="18"/>
        </w:rPr>
        <w:t>年度</w:t>
      </w:r>
      <w:r w:rsidRPr="00F752A7">
        <w:rPr>
          <w:rFonts w:hAnsi="ＭＳ 明朝" w:hint="eastAsia"/>
          <w:sz w:val="18"/>
          <w:szCs w:val="18"/>
        </w:rPr>
        <w:t>地方公営企業年鑑」の数値である。</w:t>
      </w:r>
    </w:p>
    <w:p w:rsidR="006946CA" w:rsidRPr="00F752A7" w:rsidRDefault="006946CA" w:rsidP="006946CA">
      <w:pPr>
        <w:kinsoku w:val="0"/>
        <w:overflowPunct w:val="0"/>
        <w:snapToGrid w:val="0"/>
        <w:rPr>
          <w:rFonts w:hAnsi="ＭＳ 明朝"/>
          <w:sz w:val="18"/>
          <w:szCs w:val="18"/>
        </w:rPr>
      </w:pPr>
      <w:r>
        <w:rPr>
          <w:rFonts w:hAnsi="ＭＳ 明朝" w:hint="eastAsia"/>
          <w:sz w:val="18"/>
          <w:szCs w:val="18"/>
        </w:rPr>
        <w:t xml:space="preserve">　　　　３　自己資本＝</w:t>
      </w:r>
      <w:r w:rsidRPr="00F752A7">
        <w:rPr>
          <w:rFonts w:hAnsi="ＭＳ 明朝" w:hint="eastAsia"/>
          <w:sz w:val="18"/>
          <w:szCs w:val="18"/>
        </w:rPr>
        <w:t>資本金＋剰余金</w:t>
      </w:r>
      <w:r>
        <w:rPr>
          <w:rFonts w:hAnsi="ＭＳ 明朝" w:hint="eastAsia"/>
          <w:sz w:val="18"/>
          <w:szCs w:val="18"/>
        </w:rPr>
        <w:t>＋評価差額等＋繰延収益</w:t>
      </w:r>
    </w:p>
    <w:p w:rsidR="006946CA" w:rsidRPr="00F752A7" w:rsidRDefault="006946CA" w:rsidP="006946CA">
      <w:pPr>
        <w:kinsoku w:val="0"/>
        <w:overflowPunct w:val="0"/>
        <w:snapToGrid w:val="0"/>
        <w:rPr>
          <w:rFonts w:hAnsi="ＭＳ 明朝"/>
          <w:sz w:val="18"/>
          <w:szCs w:val="18"/>
        </w:rPr>
      </w:pPr>
      <w:r w:rsidRPr="00F752A7">
        <w:rPr>
          <w:rFonts w:hAnsi="ＭＳ 明朝" w:hint="eastAsia"/>
          <w:sz w:val="18"/>
          <w:szCs w:val="18"/>
        </w:rPr>
        <w:t xml:space="preserve">　　　  </w:t>
      </w:r>
      <w:r>
        <w:rPr>
          <w:rFonts w:hAnsi="ＭＳ 明朝" w:hint="eastAsia"/>
          <w:sz w:val="18"/>
          <w:szCs w:val="18"/>
        </w:rPr>
        <w:t xml:space="preserve">４　</w:t>
      </w:r>
      <w:r w:rsidRPr="00F752A7">
        <w:rPr>
          <w:rFonts w:hAnsi="ＭＳ 明朝" w:hint="eastAsia"/>
          <w:sz w:val="18"/>
          <w:szCs w:val="18"/>
        </w:rPr>
        <w:t>総資本　＝負債・資本合計</w:t>
      </w:r>
    </w:p>
    <w:p w:rsidR="006946CA" w:rsidRPr="00F752A7" w:rsidRDefault="006946CA" w:rsidP="006946CA">
      <w:pPr>
        <w:kinsoku w:val="0"/>
        <w:overflowPunct w:val="0"/>
        <w:snapToGrid w:val="0"/>
        <w:ind w:left="941" w:hangingChars="600" w:hanging="941"/>
        <w:rPr>
          <w:rFonts w:hAnsi="ＭＳ 明朝"/>
          <w:sz w:val="18"/>
          <w:szCs w:val="18"/>
        </w:rPr>
      </w:pPr>
      <w:r w:rsidRPr="00F752A7">
        <w:rPr>
          <w:rFonts w:hAnsi="ＭＳ 明朝" w:hint="eastAsia"/>
          <w:sz w:val="18"/>
          <w:szCs w:val="18"/>
        </w:rPr>
        <w:t xml:space="preserve">　　　  </w:t>
      </w:r>
      <w:r>
        <w:rPr>
          <w:rFonts w:hAnsi="ＭＳ 明朝" w:hint="eastAsia"/>
          <w:sz w:val="18"/>
          <w:szCs w:val="18"/>
        </w:rPr>
        <w:t>５</w:t>
      </w:r>
      <w:r w:rsidRPr="00F752A7">
        <w:rPr>
          <w:rFonts w:hAnsi="ＭＳ 明朝" w:hint="eastAsia"/>
          <w:sz w:val="18"/>
          <w:szCs w:val="18"/>
        </w:rPr>
        <w:t xml:space="preserve">　</w:t>
      </w:r>
      <w:r>
        <w:rPr>
          <w:rFonts w:hAnsi="ＭＳ 明朝" w:hint="eastAsia"/>
          <w:sz w:val="18"/>
          <w:szCs w:val="18"/>
        </w:rPr>
        <w:t>職員給与費は、給料、手当等（児童手当は除く。）、</w:t>
      </w:r>
      <w:r w:rsidRPr="00F752A7">
        <w:rPr>
          <w:rFonts w:hAnsi="ＭＳ 明朝" w:hint="eastAsia"/>
          <w:sz w:val="18"/>
          <w:szCs w:val="18"/>
        </w:rPr>
        <w:t>法定福利費</w:t>
      </w:r>
      <w:r>
        <w:rPr>
          <w:rFonts w:hAnsi="ＭＳ 明朝" w:hint="eastAsia"/>
          <w:sz w:val="18"/>
          <w:szCs w:val="18"/>
        </w:rPr>
        <w:t>及び退職給付費</w:t>
      </w:r>
      <w:r w:rsidRPr="00F752A7">
        <w:rPr>
          <w:rFonts w:hAnsi="ＭＳ 明朝" w:hint="eastAsia"/>
          <w:sz w:val="18"/>
          <w:szCs w:val="18"/>
        </w:rPr>
        <w:t>（退職手当組合負担金は除く）の合計額である。</w:t>
      </w:r>
    </w:p>
    <w:p w:rsidR="006946CA" w:rsidRPr="00F752A7" w:rsidRDefault="006946CA" w:rsidP="006946CA">
      <w:pPr>
        <w:kinsoku w:val="0"/>
        <w:overflowPunct w:val="0"/>
        <w:snapToGrid w:val="0"/>
        <w:ind w:left="924" w:hangingChars="589" w:hanging="924"/>
        <w:rPr>
          <w:rFonts w:hAnsi="ＭＳ 明朝"/>
          <w:sz w:val="18"/>
          <w:szCs w:val="18"/>
        </w:rPr>
      </w:pPr>
      <w:r w:rsidRPr="00F752A7">
        <w:rPr>
          <w:rFonts w:hint="eastAsia"/>
          <w:sz w:val="18"/>
          <w:szCs w:val="18"/>
        </w:rPr>
        <w:t xml:space="preserve">　　　  </w:t>
      </w:r>
      <w:r>
        <w:rPr>
          <w:rFonts w:hAnsi="ＭＳ 明朝" w:hint="eastAsia"/>
          <w:sz w:val="18"/>
          <w:szCs w:val="18"/>
        </w:rPr>
        <w:t xml:space="preserve">　</w:t>
      </w:r>
    </w:p>
    <w:p w:rsidR="006946CA" w:rsidRPr="00DD0387" w:rsidRDefault="006946CA" w:rsidP="006946CA">
      <w:pPr>
        <w:kinsoku w:val="0"/>
        <w:overflowPunct w:val="0"/>
        <w:snapToGrid w:val="0"/>
        <w:spacing w:line="362" w:lineRule="exact"/>
        <w:jc w:val="left"/>
        <w:rPr>
          <w:rFonts w:hAnsi="ＭＳ 明朝"/>
          <w:sz w:val="22"/>
        </w:rPr>
      </w:pPr>
    </w:p>
    <w:p w:rsidR="005820BF" w:rsidRDefault="005820BF" w:rsidP="005820BF">
      <w:pPr>
        <w:jc w:val="left"/>
        <w:rPr>
          <w:rFonts w:ascii="ＭＳ ゴシック" w:eastAsia="ＭＳ ゴシック" w:hAnsi="ＭＳ ゴシック" w:hint="eastAsia"/>
          <w:sz w:val="22"/>
        </w:rPr>
      </w:pPr>
    </w:p>
    <w:p w:rsidR="002E1212" w:rsidRDefault="002E1212" w:rsidP="005820BF">
      <w:pPr>
        <w:jc w:val="left"/>
        <w:rPr>
          <w:rFonts w:ascii="ＭＳ ゴシック" w:eastAsia="ＭＳ ゴシック" w:hAnsi="ＭＳ ゴシック" w:hint="eastAsia"/>
          <w:sz w:val="22"/>
        </w:rPr>
      </w:pPr>
    </w:p>
    <w:p w:rsidR="002E1212" w:rsidRDefault="002E1212" w:rsidP="005820BF">
      <w:pPr>
        <w:jc w:val="left"/>
        <w:rPr>
          <w:rFonts w:ascii="ＭＳ ゴシック" w:eastAsia="ＭＳ ゴシック" w:hAnsi="ＭＳ ゴシック" w:hint="eastAsia"/>
          <w:sz w:val="22"/>
        </w:rPr>
      </w:pPr>
    </w:p>
    <w:p w:rsidR="002E1212" w:rsidRDefault="002E1212" w:rsidP="005820BF">
      <w:pPr>
        <w:jc w:val="left"/>
        <w:rPr>
          <w:rFonts w:ascii="ＭＳ ゴシック" w:eastAsia="ＭＳ ゴシック" w:hAnsi="ＭＳ ゴシック" w:hint="eastAsia"/>
          <w:sz w:val="22"/>
        </w:rPr>
      </w:pPr>
    </w:p>
    <w:p w:rsidR="002E1212" w:rsidRDefault="002E1212" w:rsidP="005820BF">
      <w:pPr>
        <w:jc w:val="left"/>
        <w:rPr>
          <w:rFonts w:ascii="ＭＳ ゴシック" w:eastAsia="ＭＳ ゴシック" w:hAnsi="ＭＳ ゴシック" w:hint="eastAsia"/>
          <w:sz w:val="22"/>
        </w:rPr>
      </w:pPr>
    </w:p>
    <w:p w:rsidR="002E1212" w:rsidRDefault="002E1212" w:rsidP="005820BF">
      <w:pPr>
        <w:jc w:val="left"/>
        <w:rPr>
          <w:rFonts w:ascii="ＭＳ ゴシック" w:eastAsia="ＭＳ ゴシック" w:hAnsi="ＭＳ ゴシック" w:hint="eastAsia"/>
          <w:sz w:val="22"/>
        </w:rPr>
      </w:pPr>
    </w:p>
    <w:p w:rsidR="002E1212" w:rsidRDefault="002E1212" w:rsidP="005820BF">
      <w:pPr>
        <w:jc w:val="left"/>
        <w:rPr>
          <w:rFonts w:ascii="ＭＳ ゴシック" w:eastAsia="ＭＳ ゴシック" w:hAnsi="ＭＳ ゴシック" w:hint="eastAsia"/>
          <w:sz w:val="22"/>
        </w:rPr>
      </w:pPr>
    </w:p>
    <w:p w:rsidR="002E1212" w:rsidRDefault="002E1212" w:rsidP="005820BF">
      <w:pPr>
        <w:jc w:val="left"/>
        <w:rPr>
          <w:rFonts w:ascii="ＭＳ ゴシック" w:eastAsia="ＭＳ ゴシック" w:hAnsi="ＭＳ ゴシック" w:hint="eastAsia"/>
          <w:sz w:val="22"/>
        </w:rPr>
      </w:pPr>
    </w:p>
    <w:p w:rsidR="002E1212" w:rsidRDefault="002E1212" w:rsidP="005820BF">
      <w:pPr>
        <w:jc w:val="left"/>
        <w:rPr>
          <w:rFonts w:ascii="ＭＳ ゴシック" w:eastAsia="ＭＳ ゴシック" w:hAnsi="ＭＳ ゴシック" w:hint="eastAsia"/>
          <w:sz w:val="22"/>
        </w:rPr>
      </w:pPr>
    </w:p>
    <w:p w:rsidR="002E1212" w:rsidRPr="006946CA" w:rsidRDefault="002E1212" w:rsidP="005820BF">
      <w:pPr>
        <w:jc w:val="left"/>
        <w:rPr>
          <w:rFonts w:ascii="ＭＳ ゴシック" w:eastAsia="ＭＳ ゴシック" w:hAnsi="ＭＳ ゴシック"/>
          <w:sz w:val="22"/>
        </w:rPr>
      </w:pPr>
    </w:p>
    <w:sectPr w:rsidR="002E1212" w:rsidRPr="006946CA" w:rsidSect="00306545">
      <w:type w:val="continuous"/>
      <w:pgSz w:w="11906" w:h="16838" w:code="9"/>
      <w:pgMar w:top="1134" w:right="1134" w:bottom="1134" w:left="1134" w:header="851" w:footer="510" w:gutter="0"/>
      <w:pgNumType w:fmt="numberInDash"/>
      <w:cols w:space="425"/>
      <w:docGrid w:type="linesAndChars" w:linePitch="331" w:charSpace="-472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212" w:rsidRDefault="002E1212" w:rsidP="004F288A">
      <w:r>
        <w:separator/>
      </w:r>
    </w:p>
  </w:endnote>
  <w:endnote w:type="continuationSeparator" w:id="0">
    <w:p w:rsidR="002E1212" w:rsidRDefault="002E1212" w:rsidP="004F28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09617"/>
      <w:docPartObj>
        <w:docPartGallery w:val="Page Numbers (Bottom of Page)"/>
        <w:docPartUnique/>
      </w:docPartObj>
    </w:sdtPr>
    <w:sdtContent>
      <w:p w:rsidR="002E1212" w:rsidRDefault="002E1212">
        <w:pPr>
          <w:pStyle w:val="a5"/>
          <w:jc w:val="center"/>
        </w:pPr>
        <w:r>
          <w:fldChar w:fldCharType="begin"/>
        </w:r>
        <w:r>
          <w:instrText xml:space="preserve"> PAGE   \* MERGEFORMAT </w:instrText>
        </w:r>
        <w:r>
          <w:fldChar w:fldCharType="separate"/>
        </w:r>
        <w:r w:rsidR="00306545" w:rsidRPr="00306545">
          <w:rPr>
            <w:noProof/>
            <w:lang w:val="ja-JP"/>
          </w:rPr>
          <w:t>-</w:t>
        </w:r>
        <w:r w:rsidR="00306545">
          <w:rPr>
            <w:noProof/>
          </w:rPr>
          <w:t xml:space="preserve"> 24 -</w:t>
        </w:r>
        <w:r>
          <w:fldChar w:fldCharType="end"/>
        </w:r>
      </w:p>
    </w:sdtContent>
  </w:sdt>
  <w:p w:rsidR="002E1212" w:rsidRDefault="002E121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212" w:rsidRDefault="002E1212" w:rsidP="004F288A">
      <w:r>
        <w:separator/>
      </w:r>
    </w:p>
  </w:footnote>
  <w:footnote w:type="continuationSeparator" w:id="0">
    <w:p w:rsidR="002E1212" w:rsidRDefault="002E1212" w:rsidP="004F28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8941EE"/>
    <w:multiLevelType w:val="hybridMultilevel"/>
    <w:tmpl w:val="C34AA73A"/>
    <w:lvl w:ilvl="0" w:tplc="80C8E6D2">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7"/>
  <w:drawingGridVerticalSpacing w:val="331"/>
  <w:displayHorizontalDrawingGridEvery w:val="0"/>
  <w:characterSpacingControl w:val="compressPunctuation"/>
  <w:hdrShapeDefaults>
    <o:shapedefaults v:ext="edit" spidmax="117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01A3D"/>
    <w:rsid w:val="000150AD"/>
    <w:rsid w:val="00022E34"/>
    <w:rsid w:val="00024CAA"/>
    <w:rsid w:val="0002543C"/>
    <w:rsid w:val="0006391A"/>
    <w:rsid w:val="0006509B"/>
    <w:rsid w:val="00066FBA"/>
    <w:rsid w:val="000832A9"/>
    <w:rsid w:val="00091E33"/>
    <w:rsid w:val="000945C5"/>
    <w:rsid w:val="000B0FD4"/>
    <w:rsid w:val="000B1BD0"/>
    <w:rsid w:val="000B5EDF"/>
    <w:rsid w:val="001003BF"/>
    <w:rsid w:val="00106ED8"/>
    <w:rsid w:val="00107DB7"/>
    <w:rsid w:val="00111E36"/>
    <w:rsid w:val="001230BD"/>
    <w:rsid w:val="00127198"/>
    <w:rsid w:val="001330AF"/>
    <w:rsid w:val="00151DB5"/>
    <w:rsid w:val="00157D55"/>
    <w:rsid w:val="001633AE"/>
    <w:rsid w:val="00176A0B"/>
    <w:rsid w:val="0019365C"/>
    <w:rsid w:val="001967F3"/>
    <w:rsid w:val="001A3CBC"/>
    <w:rsid w:val="001B4459"/>
    <w:rsid w:val="001C549F"/>
    <w:rsid w:val="001D25A5"/>
    <w:rsid w:val="001D2839"/>
    <w:rsid w:val="001D3B86"/>
    <w:rsid w:val="001D4EDC"/>
    <w:rsid w:val="001D4F7B"/>
    <w:rsid w:val="001F1581"/>
    <w:rsid w:val="001F195E"/>
    <w:rsid w:val="001F4766"/>
    <w:rsid w:val="001F52D3"/>
    <w:rsid w:val="00205378"/>
    <w:rsid w:val="00227FAF"/>
    <w:rsid w:val="002359C2"/>
    <w:rsid w:val="00241C38"/>
    <w:rsid w:val="0024350C"/>
    <w:rsid w:val="00256D16"/>
    <w:rsid w:val="0026007B"/>
    <w:rsid w:val="00280BA0"/>
    <w:rsid w:val="0028235C"/>
    <w:rsid w:val="002B2F92"/>
    <w:rsid w:val="002B36F7"/>
    <w:rsid w:val="002C7A19"/>
    <w:rsid w:val="002D0B54"/>
    <w:rsid w:val="002E0612"/>
    <w:rsid w:val="002E1212"/>
    <w:rsid w:val="002F26FC"/>
    <w:rsid w:val="002F6530"/>
    <w:rsid w:val="00300AA1"/>
    <w:rsid w:val="00306545"/>
    <w:rsid w:val="0031089A"/>
    <w:rsid w:val="003155E2"/>
    <w:rsid w:val="003534A3"/>
    <w:rsid w:val="0035704A"/>
    <w:rsid w:val="003640C5"/>
    <w:rsid w:val="00364B77"/>
    <w:rsid w:val="00367F3D"/>
    <w:rsid w:val="003772C2"/>
    <w:rsid w:val="003A413F"/>
    <w:rsid w:val="003A597A"/>
    <w:rsid w:val="003A69C2"/>
    <w:rsid w:val="003A796B"/>
    <w:rsid w:val="003C0C23"/>
    <w:rsid w:val="003E0E67"/>
    <w:rsid w:val="003F3AE9"/>
    <w:rsid w:val="003F4D77"/>
    <w:rsid w:val="003F7D36"/>
    <w:rsid w:val="00414619"/>
    <w:rsid w:val="004212BD"/>
    <w:rsid w:val="004242AB"/>
    <w:rsid w:val="00435B0E"/>
    <w:rsid w:val="004517DB"/>
    <w:rsid w:val="004664D6"/>
    <w:rsid w:val="00470DD3"/>
    <w:rsid w:val="00480D7B"/>
    <w:rsid w:val="004B1573"/>
    <w:rsid w:val="004B3A3D"/>
    <w:rsid w:val="004B7881"/>
    <w:rsid w:val="004C3FE4"/>
    <w:rsid w:val="004D6F89"/>
    <w:rsid w:val="004F288A"/>
    <w:rsid w:val="005146F3"/>
    <w:rsid w:val="00514ECF"/>
    <w:rsid w:val="005175DA"/>
    <w:rsid w:val="00537B91"/>
    <w:rsid w:val="005724A0"/>
    <w:rsid w:val="00581CA1"/>
    <w:rsid w:val="005820BF"/>
    <w:rsid w:val="005829AA"/>
    <w:rsid w:val="005A29CC"/>
    <w:rsid w:val="005A336A"/>
    <w:rsid w:val="005A377F"/>
    <w:rsid w:val="005B291A"/>
    <w:rsid w:val="005B7665"/>
    <w:rsid w:val="005E1150"/>
    <w:rsid w:val="005F24A3"/>
    <w:rsid w:val="006056B1"/>
    <w:rsid w:val="00655FDA"/>
    <w:rsid w:val="006829E0"/>
    <w:rsid w:val="00682C42"/>
    <w:rsid w:val="0068304B"/>
    <w:rsid w:val="00692492"/>
    <w:rsid w:val="006946CA"/>
    <w:rsid w:val="00697C50"/>
    <w:rsid w:val="006B63E2"/>
    <w:rsid w:val="006B6D51"/>
    <w:rsid w:val="006C746E"/>
    <w:rsid w:val="006D03AB"/>
    <w:rsid w:val="0071011F"/>
    <w:rsid w:val="00710357"/>
    <w:rsid w:val="00711543"/>
    <w:rsid w:val="007217E6"/>
    <w:rsid w:val="0072524B"/>
    <w:rsid w:val="0075727D"/>
    <w:rsid w:val="00771832"/>
    <w:rsid w:val="00773418"/>
    <w:rsid w:val="00777953"/>
    <w:rsid w:val="007A15D6"/>
    <w:rsid w:val="007B020B"/>
    <w:rsid w:val="007B4C66"/>
    <w:rsid w:val="007D726A"/>
    <w:rsid w:val="007E3AB5"/>
    <w:rsid w:val="007E7C52"/>
    <w:rsid w:val="007F033E"/>
    <w:rsid w:val="008119ED"/>
    <w:rsid w:val="00821182"/>
    <w:rsid w:val="008262B0"/>
    <w:rsid w:val="00830109"/>
    <w:rsid w:val="00831C89"/>
    <w:rsid w:val="00833018"/>
    <w:rsid w:val="00865EA1"/>
    <w:rsid w:val="00866DBB"/>
    <w:rsid w:val="00882D41"/>
    <w:rsid w:val="008F2862"/>
    <w:rsid w:val="008F746F"/>
    <w:rsid w:val="00904489"/>
    <w:rsid w:val="009106AA"/>
    <w:rsid w:val="009376DD"/>
    <w:rsid w:val="0097237B"/>
    <w:rsid w:val="00980B1E"/>
    <w:rsid w:val="0098340B"/>
    <w:rsid w:val="009A4AA1"/>
    <w:rsid w:val="009A4BC7"/>
    <w:rsid w:val="009B7F67"/>
    <w:rsid w:val="009C313D"/>
    <w:rsid w:val="009D482C"/>
    <w:rsid w:val="009E1F5A"/>
    <w:rsid w:val="009E3447"/>
    <w:rsid w:val="009F0FE7"/>
    <w:rsid w:val="009F4DD1"/>
    <w:rsid w:val="009F704E"/>
    <w:rsid w:val="00A006FC"/>
    <w:rsid w:val="00A1233B"/>
    <w:rsid w:val="00A220F6"/>
    <w:rsid w:val="00A37E91"/>
    <w:rsid w:val="00A419BD"/>
    <w:rsid w:val="00A44DD0"/>
    <w:rsid w:val="00A47685"/>
    <w:rsid w:val="00A52400"/>
    <w:rsid w:val="00A550F7"/>
    <w:rsid w:val="00A61845"/>
    <w:rsid w:val="00A62F4E"/>
    <w:rsid w:val="00A70B61"/>
    <w:rsid w:val="00A727CA"/>
    <w:rsid w:val="00A75B3D"/>
    <w:rsid w:val="00A77631"/>
    <w:rsid w:val="00A842E7"/>
    <w:rsid w:val="00A92C3F"/>
    <w:rsid w:val="00AC1638"/>
    <w:rsid w:val="00AD7FDC"/>
    <w:rsid w:val="00AE2BF8"/>
    <w:rsid w:val="00AE321E"/>
    <w:rsid w:val="00AE4561"/>
    <w:rsid w:val="00B14E98"/>
    <w:rsid w:val="00B17AB6"/>
    <w:rsid w:val="00B245DC"/>
    <w:rsid w:val="00B4157E"/>
    <w:rsid w:val="00B46022"/>
    <w:rsid w:val="00B656BA"/>
    <w:rsid w:val="00B818E2"/>
    <w:rsid w:val="00B86CBB"/>
    <w:rsid w:val="00B91A52"/>
    <w:rsid w:val="00BA553F"/>
    <w:rsid w:val="00BA6192"/>
    <w:rsid w:val="00BC37C2"/>
    <w:rsid w:val="00BD413C"/>
    <w:rsid w:val="00BD4BD4"/>
    <w:rsid w:val="00C00D69"/>
    <w:rsid w:val="00C261D1"/>
    <w:rsid w:val="00C50466"/>
    <w:rsid w:val="00C66063"/>
    <w:rsid w:val="00C66786"/>
    <w:rsid w:val="00C743D4"/>
    <w:rsid w:val="00C7611B"/>
    <w:rsid w:val="00C76713"/>
    <w:rsid w:val="00C857D2"/>
    <w:rsid w:val="00C90707"/>
    <w:rsid w:val="00C935A7"/>
    <w:rsid w:val="00CA4F2F"/>
    <w:rsid w:val="00CA53EA"/>
    <w:rsid w:val="00CA5E7E"/>
    <w:rsid w:val="00CB3093"/>
    <w:rsid w:val="00CF0971"/>
    <w:rsid w:val="00CF215D"/>
    <w:rsid w:val="00CF5A8E"/>
    <w:rsid w:val="00D1082D"/>
    <w:rsid w:val="00D17AE7"/>
    <w:rsid w:val="00D576B2"/>
    <w:rsid w:val="00D57F1D"/>
    <w:rsid w:val="00D62DD1"/>
    <w:rsid w:val="00D663D6"/>
    <w:rsid w:val="00D76A0F"/>
    <w:rsid w:val="00D77F6F"/>
    <w:rsid w:val="00DA7F32"/>
    <w:rsid w:val="00DB3967"/>
    <w:rsid w:val="00DB41CE"/>
    <w:rsid w:val="00DB4F3E"/>
    <w:rsid w:val="00DC38FA"/>
    <w:rsid w:val="00DC4013"/>
    <w:rsid w:val="00DC4418"/>
    <w:rsid w:val="00DC5E20"/>
    <w:rsid w:val="00DD0387"/>
    <w:rsid w:val="00DD5FC2"/>
    <w:rsid w:val="00DE7AAF"/>
    <w:rsid w:val="00E0233A"/>
    <w:rsid w:val="00E047A3"/>
    <w:rsid w:val="00E205A2"/>
    <w:rsid w:val="00E31653"/>
    <w:rsid w:val="00E42B7E"/>
    <w:rsid w:val="00E613B5"/>
    <w:rsid w:val="00E626D1"/>
    <w:rsid w:val="00E6415A"/>
    <w:rsid w:val="00E814E0"/>
    <w:rsid w:val="00E86E85"/>
    <w:rsid w:val="00EA39FD"/>
    <w:rsid w:val="00EB606C"/>
    <w:rsid w:val="00EB76C3"/>
    <w:rsid w:val="00EC2CCA"/>
    <w:rsid w:val="00EC351A"/>
    <w:rsid w:val="00ED1F7D"/>
    <w:rsid w:val="00ED329E"/>
    <w:rsid w:val="00ED392C"/>
    <w:rsid w:val="00EF2C1E"/>
    <w:rsid w:val="00F07FC4"/>
    <w:rsid w:val="00F13A9D"/>
    <w:rsid w:val="00F160E9"/>
    <w:rsid w:val="00F33EC4"/>
    <w:rsid w:val="00F430F1"/>
    <w:rsid w:val="00F663A6"/>
    <w:rsid w:val="00F737A4"/>
    <w:rsid w:val="00F903EA"/>
    <w:rsid w:val="00FA3DB2"/>
    <w:rsid w:val="00FA66C9"/>
    <w:rsid w:val="00FC1DD4"/>
    <w:rsid w:val="00FC586A"/>
    <w:rsid w:val="00FC62A9"/>
    <w:rsid w:val="00FC682E"/>
    <w:rsid w:val="00FD2036"/>
    <w:rsid w:val="00FD538E"/>
    <w:rsid w:val="00FD613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776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AC1638"/>
    <w:pPr>
      <w:ind w:leftChars="400" w:left="840"/>
    </w:pPr>
  </w:style>
  <w:style w:type="paragraph" w:styleId="a9">
    <w:name w:val="Balloon Text"/>
    <w:basedOn w:val="a"/>
    <w:link w:val="aa"/>
    <w:uiPriority w:val="99"/>
    <w:semiHidden/>
    <w:unhideWhenUsed/>
    <w:rsid w:val="00AC163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C1638"/>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package" Target="embeddings/Microsoft_Office_Excel_______6.xlsx"/><Relationship Id="rId26" Type="http://schemas.openxmlformats.org/officeDocument/2006/relationships/package" Target="embeddings/Microsoft_Office_Excel_______11.xlsx"/><Relationship Id="rId39"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package" Target="embeddings/Microsoft_Office_Excel_______8.xlsx"/><Relationship Id="rId34" Type="http://schemas.openxmlformats.org/officeDocument/2006/relationships/package" Target="embeddings/Microsoft_Office_Excel_______15.xlsx"/><Relationship Id="rId42" Type="http://schemas.openxmlformats.org/officeDocument/2006/relationships/package" Target="embeddings/Microsoft_Office_Excel_______19.xlsx"/><Relationship Id="rId47" Type="http://schemas.openxmlformats.org/officeDocument/2006/relationships/image" Target="media/image18.emf"/><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Microsoft_Office_Excel_______2.xlsx"/><Relationship Id="rId17" Type="http://schemas.openxmlformats.org/officeDocument/2006/relationships/image" Target="media/image4.emf"/><Relationship Id="rId25" Type="http://schemas.openxmlformats.org/officeDocument/2006/relationships/image" Target="media/image7.emf"/><Relationship Id="rId33" Type="http://schemas.openxmlformats.org/officeDocument/2006/relationships/image" Target="media/image11.emf"/><Relationship Id="rId38" Type="http://schemas.openxmlformats.org/officeDocument/2006/relationships/package" Target="embeddings/Microsoft_Office_Excel_______17.xlsx"/><Relationship Id="rId46" Type="http://schemas.openxmlformats.org/officeDocument/2006/relationships/package" Target="embeddings/Microsoft_Office_Excel_______21.xlsx"/><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5.emf"/><Relationship Id="rId29" Type="http://schemas.openxmlformats.org/officeDocument/2006/relationships/image" Target="media/image9.emf"/><Relationship Id="rId41"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Office_Excel_______10.xlsx"/><Relationship Id="rId32" Type="http://schemas.openxmlformats.org/officeDocument/2006/relationships/package" Target="embeddings/Microsoft_Office_Excel_______14.xlsx"/><Relationship Id="rId37" Type="http://schemas.openxmlformats.org/officeDocument/2006/relationships/image" Target="media/image13.emf"/><Relationship Id="rId40" Type="http://schemas.openxmlformats.org/officeDocument/2006/relationships/package" Target="embeddings/Microsoft_Office_Excel_______18.xlsx"/><Relationship Id="rId45"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package" Target="embeddings/Microsoft_Office_Excel_______4.xlsx"/><Relationship Id="rId23" Type="http://schemas.openxmlformats.org/officeDocument/2006/relationships/image" Target="media/image6.emf"/><Relationship Id="rId28" Type="http://schemas.openxmlformats.org/officeDocument/2006/relationships/package" Target="embeddings/Microsoft_Office_Excel_______12.xlsx"/><Relationship Id="rId36" Type="http://schemas.openxmlformats.org/officeDocument/2006/relationships/package" Target="embeddings/Microsoft_Office_Excel_______16.xlsx"/><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hart" Target="charts/chart3.xml"/><Relationship Id="rId31" Type="http://schemas.openxmlformats.org/officeDocument/2006/relationships/image" Target="media/image10.emf"/><Relationship Id="rId44" Type="http://schemas.openxmlformats.org/officeDocument/2006/relationships/package" Target="embeddings/Microsoft_Office_Excel_______20.xlsx"/><Relationship Id="rId4" Type="http://schemas.openxmlformats.org/officeDocument/2006/relationships/settings" Target="settings.xml"/><Relationship Id="rId9" Type="http://schemas.openxmlformats.org/officeDocument/2006/relationships/package" Target="embeddings/Microsoft_Office_Excel_______1.xlsx"/><Relationship Id="rId14" Type="http://schemas.openxmlformats.org/officeDocument/2006/relationships/image" Target="media/image3.emf"/><Relationship Id="rId22" Type="http://schemas.openxmlformats.org/officeDocument/2006/relationships/chart" Target="charts/chart4.xml"/><Relationship Id="rId27" Type="http://schemas.openxmlformats.org/officeDocument/2006/relationships/image" Target="media/image8.emf"/><Relationship Id="rId30" Type="http://schemas.openxmlformats.org/officeDocument/2006/relationships/package" Target="embeddings/Microsoft_Office_Excel_______13.xlsx"/><Relationship Id="rId35" Type="http://schemas.openxmlformats.org/officeDocument/2006/relationships/image" Target="media/image12.emf"/><Relationship Id="rId43" Type="http://schemas.openxmlformats.org/officeDocument/2006/relationships/image" Target="media/image16.emf"/><Relationship Id="rId48" Type="http://schemas.openxmlformats.org/officeDocument/2006/relationships/oleObject" Target="embeddings/Microsoft_Office_Excel_97-2003_______1.xls"/><Relationship Id="rId8"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5.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___7.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___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2012480499220117"/>
          <c:y val="7.4248790650047997E-2"/>
          <c:w val="0.86404931579398403"/>
          <c:h val="0.6671303979379255"/>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2.8979344614890211E-3"/>
                  <c:y val="-1.2408695549827582E-2"/>
                </c:manualLayout>
              </c:layout>
              <c:dLblPos val="outEnd"/>
              <c:showVal val="1"/>
            </c:dLbl>
            <c:dLbl>
              <c:idx val="1"/>
              <c:layout>
                <c:manualLayout>
                  <c:x val="-6.0572648199194896E-3"/>
                  <c:y val="-9.2336664195002676E-3"/>
                </c:manualLayout>
              </c:layout>
              <c:dLblPos val="outEnd"/>
              <c:showVal val="1"/>
            </c:dLbl>
            <c:dLbl>
              <c:idx val="2"/>
              <c:layout>
                <c:manualLayout>
                  <c:x val="-3.0052946678368542E-2"/>
                  <c:y val="-1.8882101620705513E-2"/>
                </c:manualLayout>
              </c:layout>
              <c:dLblPos val="outEnd"/>
              <c:showVal val="1"/>
            </c:dLbl>
            <c:dLbl>
              <c:idx val="3"/>
              <c:layout>
                <c:manualLayout>
                  <c:x val="-3.9606587638083748E-3"/>
                  <c:y val="-6.7751844920730308E-3"/>
                </c:manualLayout>
              </c:layout>
              <c:dLblPos val="outEnd"/>
              <c:showVal val="1"/>
            </c:dLbl>
            <c:dLbl>
              <c:idx val="4"/>
              <c:layout>
                <c:manualLayout>
                  <c:x val="-2.9806713721224473E-3"/>
                  <c:y val="-1.2605957887551051E-2"/>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Sheet1!$B$2:$F$2</c:f>
              <c:numCache>
                <c:formatCode>#,##0;[Red]#,##0</c:formatCode>
                <c:ptCount val="5"/>
                <c:pt idx="0">
                  <c:v>3197827</c:v>
                </c:pt>
                <c:pt idx="1">
                  <c:v>3125114</c:v>
                </c:pt>
                <c:pt idx="2">
                  <c:v>3379163</c:v>
                </c:pt>
                <c:pt idx="3">
                  <c:v>3438313</c:v>
                </c:pt>
                <c:pt idx="4">
                  <c:v>3445206</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2.5628966124088794E-2"/>
                  <c:y val="1.7969839834427114E-3"/>
                </c:manualLayout>
              </c:layout>
              <c:dLblPos val="outEnd"/>
              <c:showVal val="1"/>
            </c:dLbl>
            <c:dLbl>
              <c:idx val="1"/>
              <c:layout>
                <c:manualLayout>
                  <c:x val="2.2508865471882612E-2"/>
                  <c:y val="8.5866190351170733E-4"/>
                </c:manualLayout>
              </c:layout>
              <c:dLblPos val="outEnd"/>
              <c:showVal val="1"/>
            </c:dLbl>
            <c:dLbl>
              <c:idx val="2"/>
              <c:layout>
                <c:manualLayout>
                  <c:x val="5.5060515554678283E-4"/>
                  <c:y val="1.0173840377576122E-3"/>
                </c:manualLayout>
              </c:layout>
              <c:dLblPos val="outEnd"/>
              <c:showVal val="1"/>
            </c:dLbl>
            <c:dLbl>
              <c:idx val="3"/>
              <c:layout>
                <c:manualLayout>
                  <c:x val="3.4518302767013162E-2"/>
                  <c:y val="-9.9276155502983875E-3"/>
                </c:manualLayout>
              </c:layout>
              <c:dLblPos val="outEnd"/>
              <c:showVal val="1"/>
            </c:dLbl>
            <c:dLbl>
              <c:idx val="4"/>
              <c:layout>
                <c:manualLayout>
                  <c:x val="3.1547129116413407E-2"/>
                  <c:y val="1.5366689029342223E-3"/>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Sheet1!$B$3:$F$3</c:f>
              <c:numCache>
                <c:formatCode>#,##0;[Red]#,##0</c:formatCode>
                <c:ptCount val="5"/>
                <c:pt idx="0">
                  <c:v>3018211</c:v>
                </c:pt>
                <c:pt idx="1">
                  <c:v>2982559</c:v>
                </c:pt>
                <c:pt idx="2">
                  <c:v>3798984</c:v>
                </c:pt>
                <c:pt idx="3">
                  <c:v>2819502</c:v>
                </c:pt>
                <c:pt idx="4">
                  <c:v>2647749</c:v>
                </c:pt>
              </c:numCache>
            </c:numRef>
          </c:val>
        </c:ser>
        <c:dLbls>
          <c:showVal val="1"/>
        </c:dLbls>
        <c:axId val="86856832"/>
        <c:axId val="86858368"/>
      </c:barChart>
      <c:catAx>
        <c:axId val="86856832"/>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86858368"/>
        <c:crosses val="autoZero"/>
        <c:auto val="1"/>
        <c:lblAlgn val="ctr"/>
        <c:lblOffset val="100"/>
        <c:tickLblSkip val="1"/>
        <c:tickMarkSkip val="1"/>
      </c:catAx>
      <c:valAx>
        <c:axId val="86858368"/>
        <c:scaling>
          <c:orientation val="minMax"/>
          <c:min val="2600000"/>
        </c:scaling>
        <c:axPos val="l"/>
        <c:numFmt formatCode="#,##0;[Red]#,##0"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86856832"/>
        <c:crosses val="autoZero"/>
        <c:crossBetween val="between"/>
        <c:majorUnit val="100000"/>
      </c:valAx>
      <c:spPr>
        <a:solidFill>
          <a:srgbClr val="FFFFFF"/>
        </a:solidFill>
        <a:ln w="25400">
          <a:noFill/>
        </a:ln>
      </c:spPr>
    </c:plotArea>
    <c:legend>
      <c:legendPos val="b"/>
      <c:layout>
        <c:manualLayout>
          <c:xMode val="edge"/>
          <c:yMode val="edge"/>
          <c:x val="0.29641185647425938"/>
          <c:y val="0.86206896551723178"/>
          <c:w val="0.20275829157719083"/>
          <c:h val="8.4707931687911214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4576802507836994"/>
          <c:y val="7.590759075907591E-2"/>
          <c:w val="0.71473354231974962"/>
          <c:h val="0.66666666666666663"/>
        </c:manualLayout>
      </c:layout>
      <c:barChart>
        <c:barDir val="col"/>
        <c:grouping val="clustered"/>
        <c:ser>
          <c:idx val="1"/>
          <c:order val="0"/>
          <c:tx>
            <c:strRef>
              <c:f>Sheet1!$A$2</c:f>
              <c:strCache>
                <c:ptCount val="1"/>
                <c:pt idx="0">
                  <c:v>企業債（借入額）</c:v>
                </c:pt>
              </c:strCache>
            </c:strRef>
          </c:tx>
          <c:spPr>
            <a:solidFill>
              <a:srgbClr val="993366"/>
            </a:solidFill>
            <a:ln w="12700">
              <a:solidFill>
                <a:srgbClr val="000000"/>
              </a:solidFill>
              <a:prstDash val="solid"/>
            </a:ln>
          </c:spPr>
          <c:dLbls>
            <c:dLbl>
              <c:idx val="0"/>
              <c:layout>
                <c:manualLayout>
                  <c:x val="-1.5037758075516161E-2"/>
                  <c:y val="-1.203363468455332E-2"/>
                </c:manualLayout>
              </c:layout>
              <c:dLblPos val="outEnd"/>
              <c:showVal val="1"/>
            </c:dLbl>
            <c:dLbl>
              <c:idx val="1"/>
              <c:layout>
                <c:manualLayout>
                  <c:x val="-1.7953740195571864E-2"/>
                  <c:y val="-6.5173493777640513E-3"/>
                </c:manualLayout>
              </c:layout>
              <c:dLblPos val="outEnd"/>
              <c:showVal val="1"/>
            </c:dLbl>
            <c:dLbl>
              <c:idx val="2"/>
              <c:layout>
                <c:manualLayout>
                  <c:x val="-1.3565078282548987E-2"/>
                  <c:y val="-3.217019344761192E-3"/>
                </c:manualLayout>
              </c:layout>
              <c:dLblPos val="outEnd"/>
              <c:showVal val="1"/>
            </c:dLbl>
            <c:dLbl>
              <c:idx val="3"/>
              <c:layout>
                <c:manualLayout>
                  <c:x val="-1.8580643067474072E-2"/>
                  <c:y val="-6.5173493777640513E-3"/>
                </c:manualLayout>
              </c:layout>
              <c:dLblPos val="outEnd"/>
              <c:showVal val="1"/>
            </c:dLbl>
            <c:dLbl>
              <c:idx val="4"/>
              <c:layout>
                <c:manualLayout>
                  <c:x val="-2.6725263993163651E-2"/>
                  <c:y val="-3.2170052817471991E-3"/>
                </c:manualLayout>
              </c:layout>
              <c:spPr>
                <a:noFill/>
                <a:ln w="25399">
                  <a:noFill/>
                </a:ln>
              </c:spPr>
              <c:txPr>
                <a:bodyPr/>
                <a:lstStyle/>
                <a:p>
                  <a:pPr>
                    <a:defRPr sz="875" b="0" i="0" u="none" strike="noStrike" baseline="0">
                      <a:solidFill>
                        <a:schemeClr val="tx1"/>
                      </a:solidFill>
                      <a:latin typeface="ＭＳ 明朝"/>
                      <a:ea typeface="ＭＳ 明朝"/>
                      <a:cs typeface="ＭＳ 明朝"/>
                    </a:defRPr>
                  </a:pPr>
                  <a:endParaRPr lang="ja-JP"/>
                </a:p>
              </c:txPr>
              <c:dLblPos val="outEnd"/>
              <c:showVal val="1"/>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Sheet1!$B$2:$F$2</c:f>
              <c:numCache>
                <c:formatCode>#,##0;[Red]#,##0</c:formatCode>
                <c:ptCount val="5"/>
                <c:pt idx="0">
                  <c:v>200000</c:v>
                </c:pt>
                <c:pt idx="1">
                  <c:v>300000</c:v>
                </c:pt>
                <c:pt idx="2">
                  <c:v>280000</c:v>
                </c:pt>
                <c:pt idx="3">
                  <c:v>250000</c:v>
                </c:pt>
                <c:pt idx="4">
                  <c:v>200000</c:v>
                </c:pt>
              </c:numCache>
            </c:numRef>
          </c:val>
        </c:ser>
        <c:ser>
          <c:idx val="2"/>
          <c:order val="2"/>
          <c:tx>
            <c:strRef>
              <c:f>Sheet1!$A$4</c:f>
              <c:strCache>
                <c:ptCount val="1"/>
                <c:pt idx="0">
                  <c:v>償還金(元金償還額）</c:v>
                </c:pt>
              </c:strCache>
            </c:strRef>
          </c:tx>
          <c:spPr>
            <a:noFill/>
            <a:ln w="12700">
              <a:solidFill>
                <a:srgbClr val="000000"/>
              </a:solidFill>
              <a:prstDash val="solid"/>
            </a:ln>
          </c:spPr>
          <c:dLbls>
            <c:dLbl>
              <c:idx val="3"/>
              <c:layout>
                <c:manualLayout>
                  <c:x val="0"/>
                  <c:y val="-1.6460905349794393E-2"/>
                </c:manualLayout>
              </c:layout>
              <c:showVal val="1"/>
            </c:dLbl>
            <c:dLbl>
              <c:idx val="4"/>
              <c:layout/>
              <c:tx>
                <c:rich>
                  <a:bodyPr/>
                  <a:lstStyle/>
                  <a:p>
                    <a:pPr>
                      <a:defRPr sz="875" b="0" i="0" u="none" strike="noStrike" baseline="0">
                        <a:solidFill>
                          <a:schemeClr val="tx1"/>
                        </a:solidFill>
                        <a:latin typeface="ＭＳ 明朝"/>
                        <a:ea typeface="ＭＳ 明朝"/>
                        <a:cs typeface="ＭＳ 明朝"/>
                      </a:defRPr>
                    </a:pPr>
                    <a:r>
                      <a:rPr lang="en-US" altLang="en-US">
                        <a:solidFill>
                          <a:schemeClr val="tx1"/>
                        </a:solidFill>
                      </a:rPr>
                      <a:t>422,969</a:t>
                    </a:r>
                  </a:p>
                </c:rich>
              </c:tx>
              <c:spPr>
                <a:noFill/>
                <a:ln w="25399">
                  <a:noFill/>
                </a:ln>
              </c:spPr>
              <c:showVal val="1"/>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Sheet1!$B$4:$F$4</c:f>
              <c:numCache>
                <c:formatCode>#,##0;[Red]#,##0</c:formatCode>
                <c:ptCount val="5"/>
                <c:pt idx="0">
                  <c:v>413724</c:v>
                </c:pt>
                <c:pt idx="1">
                  <c:v>361453</c:v>
                </c:pt>
                <c:pt idx="2">
                  <c:v>379830</c:v>
                </c:pt>
                <c:pt idx="3">
                  <c:v>396906</c:v>
                </c:pt>
                <c:pt idx="4">
                  <c:v>422969</c:v>
                </c:pt>
              </c:numCache>
            </c:numRef>
          </c:val>
        </c:ser>
        <c:axId val="50331008"/>
        <c:axId val="86926464"/>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5"/>
            <c:spPr>
              <a:solidFill>
                <a:srgbClr val="000080"/>
              </a:solidFill>
              <a:ln>
                <a:solidFill>
                  <a:srgbClr val="000080"/>
                </a:solidFill>
                <a:prstDash val="solid"/>
              </a:ln>
            </c:spPr>
          </c:marker>
          <c:dLbls>
            <c:dLbl>
              <c:idx val="0"/>
              <c:layout>
                <c:manualLayout>
                  <c:x val="-4.8846020466528993E-2"/>
                  <c:y val="-5.3419566504460565E-2"/>
                </c:manualLayout>
              </c:layout>
              <c:dLblPos val="r"/>
              <c:showVal val="1"/>
            </c:dLbl>
            <c:dLbl>
              <c:idx val="1"/>
              <c:layout>
                <c:manualLayout>
                  <c:x val="-4.7591992774965272E-2"/>
                  <c:y val="-5.4948108078398575E-2"/>
                </c:manualLayout>
              </c:layout>
              <c:dLblPos val="r"/>
              <c:showVal val="1"/>
            </c:dLbl>
            <c:dLbl>
              <c:idx val="2"/>
              <c:layout>
                <c:manualLayout>
                  <c:x val="-4.6338127100186831E-2"/>
                  <c:y val="-5.2651431730177022E-2"/>
                </c:manualLayout>
              </c:layout>
              <c:dLblPos val="r"/>
              <c:showVal val="1"/>
            </c:dLbl>
            <c:dLbl>
              <c:idx val="3"/>
              <c:layout>
                <c:manualLayout>
                  <c:x val="-4.9786455782775019E-2"/>
                  <c:y val="-5.5452943749759682E-2"/>
                </c:manualLayout>
              </c:layout>
              <c:dLblPos val="r"/>
              <c:showVal val="1"/>
            </c:dLbl>
            <c:dLbl>
              <c:idx val="4"/>
              <c:layout>
                <c:manualLayout>
                  <c:x val="-5.1667216016602582E-2"/>
                  <c:y val="-5.5644340753702046E-2"/>
                </c:manualLayout>
              </c:layout>
              <c:tx>
                <c:rich>
                  <a:bodyPr/>
                  <a:lstStyle/>
                  <a:p>
                    <a:r>
                      <a:rPr lang="en-US" altLang="en-US">
                        <a:solidFill>
                          <a:schemeClr val="tx1"/>
                        </a:solidFill>
                      </a:rPr>
                      <a:t>6,807,089</a:t>
                    </a:r>
                  </a:p>
                </c:rich>
              </c:tx>
              <c:dLblPos val="r"/>
              <c:showVal val="1"/>
            </c:dLbl>
            <c:spPr>
              <a:noFill/>
              <a:ln w="25399">
                <a:noFill/>
              </a:ln>
            </c:spPr>
            <c:txPr>
              <a:bodyPr/>
              <a:lstStyle/>
              <a:p>
                <a:pPr>
                  <a:defRPr sz="875" b="0" i="0" u="none" strike="noStrike" baseline="0">
                    <a:solidFill>
                      <a:schemeClr val="tx1"/>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Sheet1!$B$3:$F$3</c:f>
              <c:numCache>
                <c:formatCode>#,##0;[Red]#,##0</c:formatCode>
                <c:ptCount val="5"/>
                <c:pt idx="0">
                  <c:v>7338247</c:v>
                </c:pt>
                <c:pt idx="1">
                  <c:v>7276794</c:v>
                </c:pt>
                <c:pt idx="2">
                  <c:v>7176964</c:v>
                </c:pt>
                <c:pt idx="3">
                  <c:v>7030057</c:v>
                </c:pt>
                <c:pt idx="4">
                  <c:v>6807089</c:v>
                </c:pt>
              </c:numCache>
            </c:numRef>
          </c:val>
        </c:ser>
        <c:marker val="1"/>
        <c:axId val="86928384"/>
        <c:axId val="86946560"/>
      </c:lineChart>
      <c:catAx>
        <c:axId val="50331008"/>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6926464"/>
        <c:crosses val="autoZero"/>
        <c:lblAlgn val="ctr"/>
        <c:lblOffset val="100"/>
        <c:tickLblSkip val="1"/>
        <c:tickMarkSkip val="1"/>
      </c:catAx>
      <c:valAx>
        <c:axId val="86926464"/>
        <c:scaling>
          <c:orientation val="minMax"/>
          <c:max val="100000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4106583072100319E-2"/>
              <c:y val="0.22772277227722773"/>
            </c:manualLayout>
          </c:layout>
          <c:spPr>
            <a:noFill/>
            <a:ln w="25399">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50331008"/>
        <c:crosses val="autoZero"/>
        <c:crossBetween val="between"/>
        <c:majorUnit val="200000"/>
      </c:valAx>
      <c:catAx>
        <c:axId val="86928384"/>
        <c:scaling>
          <c:orientation val="minMax"/>
        </c:scaling>
        <c:delete val="1"/>
        <c:axPos val="b"/>
        <c:tickLblPos val="none"/>
        <c:crossAx val="86946560"/>
        <c:crosses val="autoZero"/>
        <c:lblAlgn val="ctr"/>
        <c:lblOffset val="100"/>
      </c:catAx>
      <c:valAx>
        <c:axId val="86946560"/>
        <c:scaling>
          <c:orientation val="minMax"/>
          <c:max val="10000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65203761756613"/>
              <c:y val="0.24422442244224749"/>
            </c:manualLayout>
          </c:layout>
          <c:spPr>
            <a:noFill/>
            <a:ln w="25399">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6928384"/>
        <c:crosses val="max"/>
        <c:crossBetween val="between"/>
        <c:majorUnit val="2000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1"/>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2"/>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ayout>
        <c:manualLayout>
          <c:xMode val="edge"/>
          <c:yMode val="edge"/>
          <c:x val="0.15360501567398119"/>
          <c:y val="0.84818481848185845"/>
          <c:w val="0.6959247648902821"/>
          <c:h val="8.2508250825082508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952181632149611"/>
          <c:y val="8.6795675964235763E-2"/>
          <c:w val="0.85915492957746453"/>
          <c:h val="0.74506294764001968"/>
        </c:manualLayout>
      </c:layout>
      <c:lineChart>
        <c:grouping val="standard"/>
        <c:ser>
          <c:idx val="3"/>
          <c:order val="0"/>
          <c:spPr>
            <a:ln w="15875">
              <a:solidFill>
                <a:schemeClr val="tx1"/>
              </a:solidFill>
              <a:prstDash val="solid"/>
            </a:ln>
          </c:spPr>
          <c:marker>
            <c:symbol val="diamond"/>
            <c:size val="5"/>
            <c:spPr>
              <a:solidFill>
                <a:schemeClr val="tx1"/>
              </a:solidFill>
              <a:ln cap="rnd">
                <a:solidFill>
                  <a:schemeClr val="tx1"/>
                </a:solidFill>
                <a:prstDash val="solid"/>
              </a:ln>
            </c:spPr>
          </c:marker>
          <c:dPt>
            <c:idx val="3"/>
            <c:spPr>
              <a:ln w="15875" cap="sq">
                <a:solidFill>
                  <a:schemeClr val="tx1"/>
                </a:solidFill>
                <a:prstDash val="solid"/>
                <a:miter lim="800000"/>
              </a:ln>
            </c:spPr>
          </c:dPt>
          <c:dLbls>
            <c:dLbl>
              <c:idx val="0"/>
              <c:layout>
                <c:manualLayout>
                  <c:x val="-4.7600622692116824E-2"/>
                  <c:y val="-8.374258773209016E-2"/>
                </c:manualLayout>
              </c:layout>
              <c:dLblPos val="r"/>
              <c:showVal val="1"/>
            </c:dLbl>
            <c:dLbl>
              <c:idx val="2"/>
              <c:layout>
                <c:manualLayout>
                  <c:x val="8.7375697756090047E-3"/>
                  <c:y val="-2.6883445124915306E-2"/>
                </c:manualLayout>
              </c:layout>
              <c:dLblPos val="r"/>
              <c:showVal val="1"/>
            </c:dLbl>
            <c:dLbl>
              <c:idx val="3"/>
              <c:layout>
                <c:manualLayout>
                  <c:x val="-6.1293770203607184E-2"/>
                  <c:y val="-5.6337448559670794E-2"/>
                </c:manualLayout>
              </c:layout>
              <c:dLblPos val="r"/>
              <c:showVal val="1"/>
            </c:dLbl>
            <c:dLbl>
              <c:idx val="4"/>
              <c:layout>
                <c:manualLayout>
                  <c:x val="-5.8685856756168385E-3"/>
                  <c:y val="6.4839441366125933E-2"/>
                </c:manualLayout>
              </c:layout>
              <c:dLblPos val="r"/>
              <c:showVal val="1"/>
            </c:dLbl>
            <c:txPr>
              <a:bodyPr/>
              <a:lstStyle/>
              <a:p>
                <a:pPr>
                  <a:defRPr sz="875" baseline="0"/>
                </a:pPr>
                <a:endParaRPr lang="ja-JP"/>
              </a:p>
            </c:txPr>
            <c:dLblPos val="t"/>
            <c:showVal val="1"/>
          </c:dLbls>
          <c:cat>
            <c:strRef>
              <c:f>Sheet1!$A$1:$E$1</c:f>
              <c:strCache>
                <c:ptCount val="5"/>
                <c:pt idx="0">
                  <c:v>24年度</c:v>
                </c:pt>
                <c:pt idx="1">
                  <c:v>25年度</c:v>
                </c:pt>
                <c:pt idx="2">
                  <c:v>26年度</c:v>
                </c:pt>
                <c:pt idx="3">
                  <c:v>27年度</c:v>
                </c:pt>
                <c:pt idx="4">
                  <c:v>28年度</c:v>
                </c:pt>
              </c:strCache>
            </c:strRef>
          </c:cat>
          <c:val>
            <c:numRef>
              <c:f>Sheet1!$A$2:$E$2</c:f>
              <c:numCache>
                <c:formatCode>#,##0;[Red]#,##0</c:formatCode>
                <c:ptCount val="5"/>
                <c:pt idx="0">
                  <c:v>133366</c:v>
                </c:pt>
                <c:pt idx="1">
                  <c:v>94681</c:v>
                </c:pt>
                <c:pt idx="2" formatCode="#,##0;&quot;△ &quot;#,##0">
                  <c:v>-491127</c:v>
                </c:pt>
                <c:pt idx="3" formatCode="#,##0;&quot;△ &quot;#,##0">
                  <c:v>541437</c:v>
                </c:pt>
                <c:pt idx="4" formatCode="#,##0;&quot;△ &quot;#,##0">
                  <c:v>695189</c:v>
                </c:pt>
              </c:numCache>
            </c:numRef>
          </c:val>
        </c:ser>
        <c:marker val="1"/>
        <c:axId val="88528768"/>
        <c:axId val="88530944"/>
      </c:lineChart>
      <c:catAx>
        <c:axId val="88528768"/>
        <c:scaling>
          <c:orientation val="minMax"/>
        </c:scaling>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24</a:t>
                </a:r>
                <a:r>
                  <a:rPr lang="ja-JP" altLang="en-US"/>
                  <a:t>年度　　　　　　</a:t>
                </a:r>
                <a:r>
                  <a:rPr lang="en-US" altLang="ja-JP"/>
                  <a:t>25</a:t>
                </a:r>
                <a:r>
                  <a:rPr lang="ja-JP" altLang="en-US"/>
                  <a:t>年度　　　　　　　</a:t>
                </a:r>
                <a:r>
                  <a:rPr lang="en-US" altLang="ja-JP"/>
                  <a:t>26</a:t>
                </a:r>
                <a:r>
                  <a:rPr lang="ja-JP" altLang="en-US"/>
                  <a:t>年度　　　　　　　</a:t>
                </a:r>
                <a:r>
                  <a:rPr lang="en-US" altLang="ja-JP"/>
                  <a:t>27</a:t>
                </a:r>
                <a:r>
                  <a:rPr lang="ja-JP" altLang="en-US"/>
                  <a:t>年度　　　　　</a:t>
                </a:r>
                <a:r>
                  <a:rPr lang="en-US" altLang="ja-JP"/>
                  <a:t>28</a:t>
                </a:r>
                <a:r>
                  <a:rPr lang="ja-JP" altLang="en-US"/>
                  <a:t>年度</a:t>
                </a:r>
              </a:p>
            </c:rich>
          </c:tx>
          <c:layout>
            <c:manualLayout>
              <c:xMode val="edge"/>
              <c:yMode val="edge"/>
              <c:x val="0.14857341599634424"/>
              <c:y val="0.8620819431469372"/>
            </c:manualLayout>
          </c:layout>
          <c:spPr>
            <a:noFill/>
            <a:ln w="25399">
              <a:noFill/>
            </a:ln>
          </c:spPr>
        </c:title>
        <c:numFmt formatCode="General" sourceLinked="1"/>
        <c:majorTickMark val="none"/>
        <c:tickLblPos val="nextTo"/>
        <c:txPr>
          <a:bodyPr rot="0" vert="horz"/>
          <a:lstStyle/>
          <a:p>
            <a:pPr>
              <a:defRPr baseline="0">
                <a:solidFill>
                  <a:schemeClr val="bg1"/>
                </a:solidFill>
              </a:defRPr>
            </a:pPr>
            <a:endParaRPr lang="ja-JP"/>
          </a:p>
        </c:txPr>
        <c:crossAx val="88530944"/>
        <c:crosses val="autoZero"/>
        <c:auto val="1"/>
        <c:lblAlgn val="ctr"/>
        <c:lblOffset val="100"/>
        <c:tickLblSkip val="1"/>
        <c:tickMarkSkip val="1"/>
      </c:catAx>
      <c:valAx>
        <c:axId val="88530944"/>
        <c:scaling>
          <c:orientation val="minMax"/>
        </c:scaling>
        <c:axPos val="l"/>
        <c:numFmt formatCode="#,##0;&quot;△ &quot;#,##0"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8528768"/>
        <c:crosses val="autoZero"/>
        <c:crossBetween val="between"/>
        <c:majorUnit val="100000"/>
      </c:valAx>
      <c:spPr>
        <a:solidFill>
          <a:srgbClr val="FFFFFF"/>
        </a:solidFill>
        <a:ln w="3175">
          <a:solidFill>
            <a:srgbClr val="000000"/>
          </a:solidFill>
          <a:prstDash val="solid"/>
        </a:ln>
      </c:spPr>
    </c:plotArea>
    <c:plotVisOnly val="1"/>
    <c:dispBlanksAs val="gap"/>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6.4263322884012583E-2"/>
          <c:y val="0.11049723756906055"/>
          <c:w val="0.92163009404390062"/>
          <c:h val="0.55801104972375659"/>
        </c:manualLayout>
      </c:layout>
      <c:lineChart>
        <c:grouping val="standard"/>
        <c:ser>
          <c:idx val="0"/>
          <c:order val="0"/>
          <c:tx>
            <c:strRef>
              <c:f>Sheet1!$A$2</c:f>
              <c:strCache>
                <c:ptCount val="1"/>
                <c:pt idx="0">
                  <c:v>営業収支比率</c:v>
                </c:pt>
              </c:strCache>
            </c:strRef>
          </c:tx>
          <c:spPr>
            <a:ln w="12699">
              <a:solidFill>
                <a:schemeClr val="bg2">
                  <a:lumMod val="10000"/>
                </a:schemeClr>
              </a:solidFill>
              <a:prstDash val="solid"/>
            </a:ln>
          </c:spPr>
          <c:marker>
            <c:symbol val="diamond"/>
            <c:size val="5"/>
            <c:spPr>
              <a:solidFill>
                <a:schemeClr val="bg1"/>
              </a:solidFill>
              <a:ln>
                <a:solidFill>
                  <a:srgbClr val="000080"/>
                </a:solidFill>
                <a:prstDash val="solid"/>
              </a:ln>
            </c:spPr>
          </c:marker>
          <c:dLbls>
            <c:dLbl>
              <c:idx val="3"/>
              <c:layout>
                <c:manualLayout>
                  <c:x val="-2.9798530997578787E-2"/>
                  <c:y val="0.13050505050505051"/>
                </c:manualLayout>
              </c:layout>
              <c:dLblPos val="r"/>
              <c:showVal val="1"/>
            </c:dLbl>
            <c:dLbl>
              <c:idx val="4"/>
              <c:layout>
                <c:manualLayout>
                  <c:x val="7.410771328002691E-3"/>
                  <c:y val="7.4433656957929636E-3"/>
                </c:manualLayout>
              </c:layout>
              <c:dLblPos val="r"/>
              <c:showVal val="1"/>
            </c:dLbl>
            <c:dLblPos val="t"/>
            <c:showVal val="1"/>
          </c:dLbls>
          <c:cat>
            <c:strRef>
              <c:f>Sheet1!$B$1:$F$1</c:f>
              <c:strCache>
                <c:ptCount val="5"/>
                <c:pt idx="0">
                  <c:v>24年度</c:v>
                </c:pt>
                <c:pt idx="1">
                  <c:v>25年度</c:v>
                </c:pt>
                <c:pt idx="2">
                  <c:v>26年度</c:v>
                </c:pt>
                <c:pt idx="3">
                  <c:v>27年度</c:v>
                </c:pt>
                <c:pt idx="4">
                  <c:v>28年度</c:v>
                </c:pt>
              </c:strCache>
            </c:strRef>
          </c:cat>
          <c:val>
            <c:numRef>
              <c:f>Sheet1!$B$2:$F$2</c:f>
              <c:numCache>
                <c:formatCode>0.0_ </c:formatCode>
                <c:ptCount val="5"/>
                <c:pt idx="0" formatCode="General">
                  <c:v>111.7</c:v>
                </c:pt>
                <c:pt idx="1">
                  <c:v>110</c:v>
                </c:pt>
                <c:pt idx="2">
                  <c:v>110.8</c:v>
                </c:pt>
                <c:pt idx="3">
                  <c:v>110.7</c:v>
                </c:pt>
                <c:pt idx="4">
                  <c:v>117.7</c:v>
                </c:pt>
              </c:numCache>
            </c:numRef>
          </c:val>
        </c:ser>
        <c:ser>
          <c:idx val="1"/>
          <c:order val="1"/>
          <c:tx>
            <c:strRef>
              <c:f>Sheet1!$A$3</c:f>
              <c:strCache>
                <c:ptCount val="1"/>
                <c:pt idx="0">
                  <c:v>総収支比率</c:v>
                </c:pt>
              </c:strCache>
            </c:strRef>
          </c:tx>
          <c:spPr>
            <a:ln w="12699">
              <a:solidFill>
                <a:schemeClr val="tx1"/>
              </a:solidFill>
              <a:prstDash val="solid"/>
            </a:ln>
          </c:spPr>
          <c:marker>
            <c:symbol val="square"/>
            <c:size val="4"/>
            <c:spPr>
              <a:solidFill>
                <a:schemeClr val="tx2"/>
              </a:solidFill>
              <a:ln>
                <a:solidFill>
                  <a:schemeClr val="tx2"/>
                </a:solidFill>
                <a:prstDash val="solid"/>
              </a:ln>
            </c:spPr>
          </c:marker>
          <c:dLbls>
            <c:dLbl>
              <c:idx val="0"/>
              <c:layout>
                <c:manualLayout>
                  <c:x val="-3.5255895338664092E-2"/>
                  <c:y val="9.5245367056390765E-2"/>
                </c:manualLayout>
              </c:layout>
              <c:dLblPos val="r"/>
              <c:showVal val="1"/>
            </c:dLbl>
            <c:dLbl>
              <c:idx val="1"/>
              <c:layout>
                <c:manualLayout>
                  <c:x val="-3.9390262263728659E-2"/>
                  <c:y val="0.125368965242981"/>
                </c:manualLayout>
              </c:layout>
              <c:dLblPos val="r"/>
              <c:showVal val="1"/>
            </c:dLbl>
            <c:dLbl>
              <c:idx val="2"/>
              <c:layout>
                <c:manualLayout>
                  <c:x val="2.0606563714419452E-2"/>
                  <c:y val="1.2237652111667859E-2"/>
                </c:manualLayout>
              </c:layout>
              <c:dLblPos val="r"/>
              <c:showVal val="1"/>
            </c:dLbl>
            <c:dLbl>
              <c:idx val="3"/>
              <c:layout>
                <c:manualLayout>
                  <c:x val="-3.1121691183950844E-2"/>
                  <c:y val="-9.2812852938837204E-2"/>
                </c:manualLayout>
              </c:layout>
              <c:dLblPos val="r"/>
              <c:showVal val="1"/>
            </c:dLbl>
            <c:dLblPos val="t"/>
            <c:showVal val="1"/>
          </c:dLbls>
          <c:cat>
            <c:strRef>
              <c:f>Sheet1!$B$1:$F$1</c:f>
              <c:strCache>
                <c:ptCount val="5"/>
                <c:pt idx="0">
                  <c:v>24年度</c:v>
                </c:pt>
                <c:pt idx="1">
                  <c:v>25年度</c:v>
                </c:pt>
                <c:pt idx="2">
                  <c:v>26年度</c:v>
                </c:pt>
                <c:pt idx="3">
                  <c:v>27年度</c:v>
                </c:pt>
                <c:pt idx="4">
                  <c:v>28年度</c:v>
                </c:pt>
              </c:strCache>
            </c:strRef>
          </c:cat>
          <c:val>
            <c:numRef>
              <c:f>Sheet1!$B$3:$F$3</c:f>
              <c:numCache>
                <c:formatCode>General</c:formatCode>
                <c:ptCount val="5"/>
                <c:pt idx="0">
                  <c:v>104.6</c:v>
                </c:pt>
                <c:pt idx="1">
                  <c:v>103.3</c:v>
                </c:pt>
                <c:pt idx="2">
                  <c:v>86.6</c:v>
                </c:pt>
                <c:pt idx="3">
                  <c:v>120.3</c:v>
                </c:pt>
                <c:pt idx="4">
                  <c:v>127.6</c:v>
                </c:pt>
              </c:numCache>
            </c:numRef>
          </c:val>
        </c:ser>
        <c:ser>
          <c:idx val="2"/>
          <c:order val="2"/>
          <c:tx>
            <c:strRef>
              <c:f>Sheet1!$A$4</c:f>
              <c:strCache>
                <c:ptCount val="1"/>
              </c:strCache>
            </c:strRef>
          </c:tx>
          <c:cat>
            <c:strRef>
              <c:f>Sheet1!$B$1:$F$1</c:f>
              <c:strCache>
                <c:ptCount val="5"/>
                <c:pt idx="0">
                  <c:v>24年度</c:v>
                </c:pt>
                <c:pt idx="1">
                  <c:v>25年度</c:v>
                </c:pt>
                <c:pt idx="2">
                  <c:v>26年度</c:v>
                </c:pt>
                <c:pt idx="3">
                  <c:v>27年度</c:v>
                </c:pt>
                <c:pt idx="4">
                  <c:v>28年度</c:v>
                </c:pt>
              </c:strCache>
            </c:strRef>
          </c:cat>
          <c:val>
            <c:numRef>
              <c:f>Sheet1!$B$4:$F$4</c:f>
              <c:numCache>
                <c:formatCode>General</c:formatCode>
                <c:ptCount val="5"/>
              </c:numCache>
            </c:numRef>
          </c:val>
        </c:ser>
        <c:ser>
          <c:idx val="3"/>
          <c:order val="3"/>
          <c:tx>
            <c:strRef>
              <c:f>Sheet1!$A$5</c:f>
              <c:strCache>
                <c:ptCount val="1"/>
              </c:strCache>
            </c:strRef>
          </c:tx>
          <c:cat>
            <c:strRef>
              <c:f>Sheet1!$B$1:$F$1</c:f>
              <c:strCache>
                <c:ptCount val="5"/>
                <c:pt idx="0">
                  <c:v>24年度</c:v>
                </c:pt>
                <c:pt idx="1">
                  <c:v>25年度</c:v>
                </c:pt>
                <c:pt idx="2">
                  <c:v>26年度</c:v>
                </c:pt>
                <c:pt idx="3">
                  <c:v>27年度</c:v>
                </c:pt>
                <c:pt idx="4">
                  <c:v>28年度</c:v>
                </c:pt>
              </c:strCache>
            </c:strRef>
          </c:cat>
          <c:val>
            <c:numRef>
              <c:f>Sheet1!$B$5:$F$5</c:f>
              <c:numCache>
                <c:formatCode>General</c:formatCode>
                <c:ptCount val="5"/>
              </c:numCache>
            </c:numRef>
          </c:val>
        </c:ser>
        <c:dLbls>
          <c:showVal val="1"/>
        </c:dLbls>
        <c:marker val="1"/>
        <c:axId val="88832640"/>
        <c:axId val="88846720"/>
      </c:lineChart>
      <c:catAx>
        <c:axId val="88832640"/>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88846720"/>
        <c:crosses val="autoZero"/>
        <c:auto val="1"/>
        <c:lblAlgn val="ctr"/>
        <c:lblOffset val="100"/>
        <c:tickLblSkip val="1"/>
        <c:tickMarkSkip val="1"/>
      </c:catAx>
      <c:valAx>
        <c:axId val="88846720"/>
        <c:scaling>
          <c:orientation val="minMax"/>
          <c:max val="130"/>
          <c:min val="80"/>
        </c:scaling>
        <c:axPos val="l"/>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8832640"/>
        <c:crosses val="autoZero"/>
        <c:crossBetween val="between"/>
        <c:majorUnit val="10"/>
      </c:valAx>
      <c:spPr>
        <a:noFill/>
        <a:ln w="25399">
          <a:noFill/>
        </a:ln>
      </c:spPr>
    </c:plotArea>
    <c:legend>
      <c:legendPos val="b"/>
      <c:layout>
        <c:manualLayout>
          <c:xMode val="edge"/>
          <c:yMode val="edge"/>
          <c:x val="0.33337853601633138"/>
          <c:y val="0.844146706792541"/>
          <c:w val="0.37135073393604651"/>
          <c:h val="8.6642756042929189E-2"/>
        </c:manualLayout>
      </c:layout>
      <c:spPr>
        <a:no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9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1AE90A-9819-458B-B36A-A6692B1DC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18</Pages>
  <Words>1257</Words>
  <Characters>7171</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60</cp:revision>
  <cp:lastPrinted>2017-10-04T06:56:00Z</cp:lastPrinted>
  <dcterms:created xsi:type="dcterms:W3CDTF">2013-09-11T05:37:00Z</dcterms:created>
  <dcterms:modified xsi:type="dcterms:W3CDTF">2017-10-04T07:08:00Z</dcterms:modified>
</cp:coreProperties>
</file>