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90376A">
        <w:rPr>
          <w:rFonts w:hAnsi="ＭＳ 明朝" w:hint="eastAsia"/>
          <w:snapToGrid w:val="0"/>
          <w:szCs w:val="24"/>
        </w:rPr>
        <w:t>90,819,588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90376A">
        <w:rPr>
          <w:rFonts w:hAnsi="ＭＳ 明朝" w:hint="eastAsia"/>
          <w:snapToGrid w:val="0"/>
          <w:szCs w:val="24"/>
        </w:rPr>
        <w:t>84,659,009</w:t>
      </w:r>
      <w:r w:rsidRPr="00095FFB">
        <w:rPr>
          <w:rFonts w:hAnsi="ＭＳ 明朝" w:hint="eastAsia"/>
          <w:snapToGrid w:val="0"/>
          <w:szCs w:val="24"/>
        </w:rPr>
        <w:t>千円（予算現額に対する収入率</w:t>
      </w:r>
      <w:r w:rsidR="0090376A">
        <w:rPr>
          <w:rFonts w:hAnsi="ＭＳ 明朝" w:hint="eastAsia"/>
          <w:snapToGrid w:val="0"/>
          <w:szCs w:val="24"/>
        </w:rPr>
        <w:t>93.2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出　</w:t>
      </w:r>
      <w:r w:rsidR="0090376A">
        <w:rPr>
          <w:rFonts w:hAnsi="ＭＳ 明朝" w:hint="eastAsia"/>
          <w:snapToGrid w:val="0"/>
          <w:szCs w:val="24"/>
        </w:rPr>
        <w:t>83,931,341</w:t>
      </w:r>
      <w:r w:rsidRPr="00095FFB">
        <w:rPr>
          <w:rFonts w:hAnsi="ＭＳ 明朝" w:hint="eastAsia"/>
          <w:snapToGrid w:val="0"/>
          <w:szCs w:val="24"/>
        </w:rPr>
        <w:t>千円（予算現額に対する執行率</w:t>
      </w:r>
      <w:r w:rsidR="0090376A">
        <w:rPr>
          <w:rFonts w:hAnsi="ＭＳ 明朝" w:hint="eastAsia"/>
          <w:snapToGrid w:val="0"/>
          <w:szCs w:val="24"/>
        </w:rPr>
        <w:t>92.4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差引額　 </w:t>
      </w:r>
      <w:r w:rsidR="005D239C">
        <w:rPr>
          <w:rFonts w:hAnsi="ＭＳ 明朝" w:hint="eastAsia"/>
          <w:snapToGrid w:val="0"/>
          <w:szCs w:val="24"/>
        </w:rPr>
        <w:t>727,668</w:t>
      </w:r>
      <w:r w:rsidR="00ED4B83" w:rsidRPr="00095FFB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決算額は前年度に比べ歳入で</w:t>
      </w:r>
      <w:r w:rsidR="00A85E03">
        <w:rPr>
          <w:rFonts w:hAnsi="ＭＳ 明朝" w:hint="eastAsia"/>
          <w:szCs w:val="24"/>
        </w:rPr>
        <w:t>1,296,258</w:t>
      </w:r>
      <w:r w:rsidRPr="00ED4B83">
        <w:rPr>
          <w:rFonts w:hAnsi="ＭＳ 明朝" w:hint="eastAsia"/>
          <w:snapToGrid w:val="0"/>
          <w:szCs w:val="24"/>
        </w:rPr>
        <w:t>千円(</w:t>
      </w:r>
      <w:r w:rsidR="0090376A">
        <w:rPr>
          <w:rFonts w:hAnsi="ＭＳ 明朝" w:hint="eastAsia"/>
          <w:szCs w:val="24"/>
        </w:rPr>
        <w:t>1.6</w:t>
      </w:r>
      <w:r w:rsidRPr="00ED4B83">
        <w:rPr>
          <w:rFonts w:hAnsi="ＭＳ 明朝" w:hint="eastAsia"/>
          <w:snapToGrid w:val="0"/>
          <w:szCs w:val="24"/>
        </w:rPr>
        <w:t>％)</w:t>
      </w:r>
      <w:r w:rsidR="003F4263">
        <w:rPr>
          <w:rFonts w:hAnsi="ＭＳ 明朝" w:hint="eastAsia"/>
          <w:snapToGrid w:val="0"/>
          <w:szCs w:val="24"/>
        </w:rPr>
        <w:t>、</w:t>
      </w:r>
      <w:r w:rsidRPr="00ED4B83">
        <w:rPr>
          <w:rFonts w:hAnsi="ＭＳ 明朝" w:hint="eastAsia"/>
          <w:snapToGrid w:val="0"/>
          <w:szCs w:val="24"/>
        </w:rPr>
        <w:t>歳出で</w:t>
      </w:r>
      <w:r w:rsidR="0090376A">
        <w:rPr>
          <w:rFonts w:hAnsi="ＭＳ 明朝" w:hint="eastAsia"/>
          <w:snapToGrid w:val="0"/>
          <w:szCs w:val="24"/>
        </w:rPr>
        <w:t>1,714,171</w:t>
      </w:r>
      <w:r w:rsidRPr="00ED4B83">
        <w:rPr>
          <w:rFonts w:hAnsi="ＭＳ 明朝" w:hint="eastAsia"/>
          <w:snapToGrid w:val="0"/>
          <w:szCs w:val="24"/>
        </w:rPr>
        <w:t>千円</w:t>
      </w:r>
      <w:r w:rsidR="0090376A">
        <w:rPr>
          <w:rFonts w:hAnsi="ＭＳ 明朝" w:hint="eastAsia"/>
          <w:szCs w:val="24"/>
        </w:rPr>
        <w:t>(2.1</w:t>
      </w:r>
      <w:r w:rsidRPr="00ED4B83">
        <w:rPr>
          <w:rFonts w:hAnsi="ＭＳ 明朝" w:hint="eastAsia"/>
          <w:szCs w:val="24"/>
        </w:rPr>
        <w:t>％)</w:t>
      </w:r>
      <w:r w:rsidR="003F4263">
        <w:rPr>
          <w:rFonts w:hAnsi="ＭＳ 明朝" w:hint="eastAsia"/>
          <w:szCs w:val="24"/>
        </w:rPr>
        <w:t>それぞれ</w:t>
      </w:r>
      <w:r w:rsidRPr="00ED4B83">
        <w:rPr>
          <w:rFonts w:hAnsi="ＭＳ 明朝" w:hint="eastAsia"/>
          <w:snapToGrid w:val="0"/>
          <w:szCs w:val="24"/>
        </w:rPr>
        <w:t>増加している。</w:t>
      </w:r>
    </w:p>
    <w:p w:rsidR="00ED4B83" w:rsidRPr="003F426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ED4B83" w:rsidRPr="00ED4B83" w:rsidRDefault="00ED4B83" w:rsidP="00430062">
      <w:pPr>
        <w:kinsoku w:val="0"/>
        <w:overflowPunct w:val="0"/>
        <w:snapToGrid w:val="0"/>
        <w:spacing w:line="240" w:lineRule="auto"/>
        <w:jc w:val="right"/>
        <w:rPr>
          <w:rFonts w:hAnsi="ＭＳ 明朝"/>
          <w:szCs w:val="24"/>
        </w:rPr>
      </w:pPr>
      <w:r w:rsidRPr="00ED4B83">
        <w:rPr>
          <w:rFonts w:hAnsi="ＭＳ 明朝" w:hint="eastAsia"/>
          <w:szCs w:val="24"/>
        </w:rPr>
        <w:t xml:space="preserve">　</w:t>
      </w: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  <w:r w:rsidR="00430062">
        <w:rPr>
          <w:rFonts w:hAnsi="ＭＳ 明朝" w:hint="eastAsia"/>
          <w:szCs w:val="24"/>
        </w:rPr>
        <w:t xml:space="preserve"> </w:t>
      </w:r>
      <w:r w:rsidRPr="00ED4B83">
        <w:rPr>
          <w:rFonts w:hAnsi="ＭＳ 明朝" w:hint="eastAsia"/>
          <w:szCs w:val="24"/>
        </w:rPr>
        <w:t>（単位：千円・％）</w:t>
      </w:r>
    </w:p>
    <w:bookmarkStart w:id="0" w:name="_MON_1438580778"/>
    <w:bookmarkEnd w:id="0"/>
    <w:p w:rsidR="00ED4B83" w:rsidRPr="00DD0C22" w:rsidRDefault="00215132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35pt;height:135.9pt" o:ole="">
            <v:imagedata r:id="rId8" o:title=""/>
          </v:shape>
          <o:OLEObject Type="Embed" ProgID="Excel.Sheet.12" ShapeID="_x0000_i1025" DrawAspect="Content" ObjectID="_1509179449" r:id="rId9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t>１　歳　　入</w:t>
      </w: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DD0C22" w:rsidRDefault="00DD0C22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8A2D2E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DD0C22">
        <w:rPr>
          <w:rFonts w:hAnsi="ＭＳ 明朝" w:hint="eastAsia"/>
          <w:b/>
          <w:szCs w:val="24"/>
        </w:rPr>
        <w:t xml:space="preserve">　　　　　　　　　　　</w:t>
      </w:r>
      <w:r w:rsidRPr="00DD0C22">
        <w:rPr>
          <w:rFonts w:hAnsi="ＭＳ 明朝" w:hint="eastAsia"/>
          <w:szCs w:val="24"/>
        </w:rPr>
        <w:t xml:space="preserve">　　　　　　　（単位：％）</w:t>
      </w:r>
    </w:p>
    <w:p w:rsidR="00940888" w:rsidRPr="00DD0C22" w:rsidRDefault="00940888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</w:rPr>
      </w:pPr>
      <w:bookmarkStart w:id="1" w:name="_GoBack"/>
      <w:bookmarkEnd w:id="1"/>
    </w:p>
    <w:p w:rsidR="00DD0C22" w:rsidRPr="00940888" w:rsidRDefault="00DD0C22" w:rsidP="0094088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940888">
        <w:rPr>
          <w:rFonts w:ascii="ＭＳ ゴシック" w:eastAsia="ＭＳ ゴシック" w:hAnsi="ＭＳ ゴシック"/>
          <w:bCs/>
          <w:szCs w:val="24"/>
        </w:rPr>
        <w:t>平成</w:t>
      </w:r>
      <w:r w:rsidR="00106BD6">
        <w:rPr>
          <w:rFonts w:ascii="ＭＳ ゴシック" w:eastAsia="ＭＳ ゴシック" w:hAnsi="ＭＳ ゴシック" w:hint="eastAsia"/>
          <w:bCs/>
          <w:szCs w:val="24"/>
        </w:rPr>
        <w:t>26</w:t>
      </w:r>
      <w:r w:rsidRPr="00940888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 w:rsidR="00215132">
        <w:rPr>
          <w:rFonts w:ascii="ＭＳ ゴシック" w:eastAsia="ＭＳ ゴシック" w:hAnsi="ＭＳ ゴシック" w:hint="eastAsia"/>
          <w:bCs/>
          <w:szCs w:val="24"/>
        </w:rPr>
        <w:t>84,659,009</w:t>
      </w:r>
      <w:r w:rsidRPr="00940888">
        <w:rPr>
          <w:rFonts w:ascii="ＭＳ ゴシック" w:eastAsia="ＭＳ ゴシック" w:hAnsi="ＭＳ ゴシック"/>
          <w:bCs/>
          <w:szCs w:val="24"/>
        </w:rPr>
        <w:t>千円</w:t>
      </w:r>
    </w:p>
    <w:p w:rsidR="00255786" w:rsidRDefault="00353D2C" w:rsidP="00DD0C22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>
            <wp:extent cx="6086475" cy="3581400"/>
            <wp:effectExtent l="1905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E7FE5" w:rsidRPr="00940888" w:rsidRDefault="00940888" w:rsidP="00940888">
      <w:pPr>
        <w:spacing w:line="240" w:lineRule="auto"/>
        <w:jc w:val="right"/>
        <w:rPr>
          <w:rFonts w:hAnsi="ＭＳ 明朝"/>
          <w:sz w:val="22"/>
          <w:szCs w:val="22"/>
        </w:rPr>
      </w:pPr>
      <w:r w:rsidRPr="00940888">
        <w:rPr>
          <w:rFonts w:hAnsi="ＭＳ 明朝" w:hint="eastAsia"/>
          <w:sz w:val="22"/>
          <w:szCs w:val="22"/>
        </w:rPr>
        <w:t>※　(　)内は、</w:t>
      </w:r>
      <w:r w:rsidR="00215132">
        <w:rPr>
          <w:rFonts w:hAnsi="ＭＳ 明朝" w:hint="eastAsia"/>
          <w:sz w:val="22"/>
          <w:szCs w:val="22"/>
        </w:rPr>
        <w:t>25</w:t>
      </w:r>
      <w:r w:rsidRPr="00940888">
        <w:rPr>
          <w:rFonts w:hAnsi="ＭＳ 明朝" w:hint="eastAsia"/>
          <w:sz w:val="22"/>
          <w:szCs w:val="22"/>
        </w:rPr>
        <w:t>年度数値</w:t>
      </w:r>
    </w:p>
    <w:p w:rsidR="00940888" w:rsidRPr="00621B2A" w:rsidRDefault="00940888" w:rsidP="00621B2A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lastRenderedPageBreak/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C7E53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当年度の歳入決算額は</w:t>
      </w:r>
      <w:r w:rsidR="00860CB4" w:rsidRPr="00AC7E53">
        <w:rPr>
          <w:rFonts w:hAnsi="ＭＳ 明朝" w:hint="eastAsia"/>
          <w:snapToGrid w:val="0"/>
          <w:szCs w:val="24"/>
        </w:rPr>
        <w:t>84,659,009</w:t>
      </w:r>
      <w:r w:rsidRPr="00AC7E53">
        <w:rPr>
          <w:rFonts w:hAnsi="ＭＳ 明朝" w:hint="eastAsia"/>
          <w:szCs w:val="24"/>
        </w:rPr>
        <w:t>千円で、予算現額</w:t>
      </w:r>
      <w:r w:rsidR="00860CB4" w:rsidRPr="00AC7E53">
        <w:rPr>
          <w:rFonts w:hAnsi="ＭＳ 明朝" w:hint="eastAsia"/>
          <w:snapToGrid w:val="0"/>
          <w:szCs w:val="24"/>
        </w:rPr>
        <w:t>90,819,588千円</w:t>
      </w:r>
      <w:r w:rsidRPr="00AC7E53">
        <w:rPr>
          <w:rFonts w:hAnsi="ＭＳ 明朝" w:hint="eastAsia"/>
          <w:szCs w:val="24"/>
        </w:rPr>
        <w:t>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収入率は</w:t>
      </w:r>
      <w:r w:rsidR="00860CB4" w:rsidRPr="00AC7E53">
        <w:rPr>
          <w:rFonts w:hAnsi="ＭＳ 明朝" w:hint="eastAsia"/>
          <w:szCs w:val="24"/>
        </w:rPr>
        <w:t>9</w:t>
      </w:r>
      <w:r w:rsidR="005C2701" w:rsidRPr="00AC7E53">
        <w:rPr>
          <w:rFonts w:hAnsi="ＭＳ 明朝" w:hint="eastAsia"/>
          <w:szCs w:val="24"/>
        </w:rPr>
        <w:t>3.2</w:t>
      </w:r>
      <w:r w:rsidRPr="003A3BC0">
        <w:rPr>
          <w:rFonts w:hAnsi="ＭＳ 明朝" w:hint="eastAsia"/>
          <w:szCs w:val="24"/>
        </w:rPr>
        <w:t>％(前年度</w:t>
      </w:r>
      <w:r w:rsidR="00860CB4">
        <w:rPr>
          <w:rFonts w:hAnsi="ＭＳ 明朝" w:hint="eastAsia"/>
          <w:szCs w:val="24"/>
        </w:rPr>
        <w:t>82.1</w:t>
      </w:r>
      <w:r w:rsidRPr="003A3BC0">
        <w:rPr>
          <w:rFonts w:hAnsi="ＭＳ 明朝" w:hint="eastAsia"/>
          <w:szCs w:val="24"/>
        </w:rPr>
        <w:t>％)、調定額</w:t>
      </w:r>
      <w:r w:rsidR="00B1686E">
        <w:rPr>
          <w:rFonts w:hAnsi="ＭＳ 明朝" w:hint="eastAsia"/>
          <w:szCs w:val="24"/>
        </w:rPr>
        <w:t>89,582,575</w:t>
      </w:r>
      <w:r w:rsidRPr="003A3BC0">
        <w:rPr>
          <w:rFonts w:hAnsi="ＭＳ 明朝" w:hint="eastAsia"/>
          <w:szCs w:val="24"/>
        </w:rPr>
        <w:t>千円に対して収納率は</w:t>
      </w:r>
      <w:r w:rsidR="00B1686E">
        <w:rPr>
          <w:rFonts w:hAnsi="ＭＳ 明朝" w:hint="eastAsia"/>
          <w:szCs w:val="24"/>
        </w:rPr>
        <w:t>94.5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B1686E">
        <w:rPr>
          <w:rFonts w:hAnsi="ＭＳ 明朝" w:hint="eastAsia"/>
          <w:szCs w:val="24"/>
        </w:rPr>
        <w:t>82.6</w:t>
      </w:r>
      <w:r w:rsidRPr="003A3BC0">
        <w:rPr>
          <w:rFonts w:hAnsi="ＭＳ 明朝" w:hint="eastAsia"/>
          <w:szCs w:val="24"/>
        </w:rPr>
        <w:t>％)となっている。</w:t>
      </w:r>
    </w:p>
    <w:p w:rsidR="00940888" w:rsidRDefault="00940888" w:rsidP="00621B2A">
      <w:pPr>
        <w:kinsoku w:val="0"/>
        <w:overflowPunct w:val="0"/>
        <w:snapToGrid w:val="0"/>
        <w:spacing w:line="240" w:lineRule="auto"/>
        <w:ind w:firstLineChars="400" w:firstLine="96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収入済額は前年度に比べ</w:t>
      </w:r>
      <w:r w:rsidR="00CC6F7A">
        <w:rPr>
          <w:rFonts w:hAnsi="ＭＳ 明朝" w:hint="eastAsia"/>
          <w:szCs w:val="24"/>
        </w:rPr>
        <w:t>1,296,258</w:t>
      </w:r>
      <w:r w:rsidRPr="003A3BC0">
        <w:rPr>
          <w:rFonts w:hAnsi="ＭＳ 明朝" w:hint="eastAsia"/>
          <w:szCs w:val="24"/>
        </w:rPr>
        <w:t>千円(</w:t>
      </w:r>
      <w:r w:rsidR="00CC6F7A">
        <w:rPr>
          <w:rFonts w:hAnsi="ＭＳ 明朝" w:hint="eastAsia"/>
          <w:szCs w:val="24"/>
        </w:rPr>
        <w:t>1.6</w:t>
      </w:r>
      <w:r w:rsidRPr="003A3BC0">
        <w:rPr>
          <w:rFonts w:hAnsi="ＭＳ 明朝" w:hint="eastAsia"/>
          <w:szCs w:val="24"/>
        </w:rPr>
        <w:t>％)</w:t>
      </w:r>
      <w:r w:rsidR="00284931" w:rsidRPr="003A3BC0">
        <w:rPr>
          <w:rFonts w:hAnsi="ＭＳ 明朝" w:hint="eastAsia"/>
          <w:szCs w:val="24"/>
        </w:rPr>
        <w:t>増加</w:t>
      </w:r>
      <w:r w:rsidRPr="003A3BC0">
        <w:rPr>
          <w:rFonts w:hAnsi="ＭＳ 明朝" w:hint="eastAsia"/>
          <w:szCs w:val="24"/>
        </w:rPr>
        <w:t>している。</w:t>
      </w:r>
    </w:p>
    <w:p w:rsidR="00842D3A" w:rsidRPr="00AE13A7" w:rsidRDefault="00727955" w:rsidP="00AE13A7">
      <w:pPr>
        <w:kinsoku w:val="0"/>
        <w:overflowPunct w:val="0"/>
        <w:snapToGrid w:val="0"/>
        <w:spacing w:line="240" w:lineRule="auto"/>
        <w:ind w:leftChars="300" w:left="720" w:firstLineChars="100" w:firstLine="227"/>
        <w:rPr>
          <w:rFonts w:hAnsi="ＭＳ 明朝"/>
          <w:w w:val="95"/>
          <w:szCs w:val="24"/>
        </w:rPr>
      </w:pPr>
      <w:r w:rsidRPr="00AE13A7">
        <w:rPr>
          <w:rFonts w:hAnsi="ＭＳ 明朝" w:hint="eastAsia"/>
          <w:w w:val="95"/>
          <w:szCs w:val="24"/>
        </w:rPr>
        <w:t>これは主に、</w:t>
      </w:r>
      <w:r w:rsidR="007B41C8" w:rsidRPr="00AE13A7">
        <w:rPr>
          <w:rFonts w:hAnsi="ＭＳ 明朝" w:hint="eastAsia"/>
          <w:w w:val="95"/>
          <w:szCs w:val="24"/>
        </w:rPr>
        <w:t>国庫支出金</w:t>
      </w:r>
      <w:r w:rsidRPr="00AE13A7">
        <w:rPr>
          <w:rFonts w:hAnsi="ＭＳ 明朝" w:hint="eastAsia"/>
          <w:w w:val="95"/>
          <w:szCs w:val="24"/>
        </w:rPr>
        <w:t>で</w:t>
      </w:r>
      <w:r w:rsidR="007B41C8">
        <w:rPr>
          <w:rFonts w:hAnsi="ＭＳ 明朝" w:hint="eastAsia"/>
          <w:w w:val="95"/>
          <w:szCs w:val="24"/>
        </w:rPr>
        <w:t>2,571,596</w:t>
      </w:r>
      <w:r w:rsidRPr="00AE13A7">
        <w:rPr>
          <w:rFonts w:hAnsi="ＭＳ 明朝" w:hint="eastAsia"/>
          <w:w w:val="95"/>
          <w:szCs w:val="24"/>
        </w:rPr>
        <w:t>千円（△</w:t>
      </w:r>
      <w:r w:rsidR="007B41C8">
        <w:rPr>
          <w:rFonts w:hAnsi="ＭＳ 明朝" w:hint="eastAsia"/>
          <w:w w:val="95"/>
          <w:szCs w:val="24"/>
        </w:rPr>
        <w:t>15.4</w:t>
      </w:r>
      <w:r w:rsidR="00AE13A7" w:rsidRPr="00AE13A7">
        <w:rPr>
          <w:rFonts w:hAnsi="ＭＳ 明朝" w:hint="eastAsia"/>
          <w:w w:val="95"/>
          <w:szCs w:val="24"/>
        </w:rPr>
        <w:t>％）、</w:t>
      </w:r>
      <w:r w:rsidR="007B41C8" w:rsidRPr="00AE13A7">
        <w:rPr>
          <w:rFonts w:hAnsi="ＭＳ 明朝" w:hint="eastAsia"/>
          <w:w w:val="95"/>
          <w:szCs w:val="24"/>
        </w:rPr>
        <w:t>地方交付税</w:t>
      </w:r>
      <w:r w:rsidRPr="00AE13A7">
        <w:rPr>
          <w:rFonts w:hAnsi="ＭＳ 明朝" w:hint="eastAsia"/>
          <w:w w:val="95"/>
          <w:szCs w:val="24"/>
        </w:rPr>
        <w:t>で</w:t>
      </w:r>
      <w:r w:rsidR="007B41C8">
        <w:rPr>
          <w:rFonts w:hAnsi="ＭＳ 明朝" w:hint="eastAsia"/>
          <w:w w:val="95"/>
          <w:szCs w:val="24"/>
        </w:rPr>
        <w:t>1,250,190</w:t>
      </w:r>
      <w:r w:rsidRPr="00AE13A7">
        <w:rPr>
          <w:rFonts w:hAnsi="ＭＳ 明朝" w:hint="eastAsia"/>
          <w:w w:val="95"/>
          <w:szCs w:val="24"/>
        </w:rPr>
        <w:t>千円</w:t>
      </w:r>
    </w:p>
    <w:p w:rsidR="001C753B" w:rsidRDefault="00727955" w:rsidP="0049196E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842D3A">
        <w:rPr>
          <w:rFonts w:hAnsi="ＭＳ 明朝" w:hint="eastAsia"/>
          <w:szCs w:val="24"/>
        </w:rPr>
        <w:t>（△</w:t>
      </w:r>
      <w:r w:rsidR="007B41C8">
        <w:rPr>
          <w:rFonts w:hAnsi="ＭＳ 明朝" w:hint="eastAsia"/>
          <w:szCs w:val="24"/>
        </w:rPr>
        <w:t>11.6</w:t>
      </w:r>
      <w:r w:rsidR="001C753B">
        <w:rPr>
          <w:rFonts w:hAnsi="ＭＳ 明朝" w:hint="eastAsia"/>
          <w:szCs w:val="24"/>
        </w:rPr>
        <w:t>％）</w:t>
      </w:r>
      <w:r w:rsidRPr="00842D3A">
        <w:rPr>
          <w:rFonts w:hAnsi="ＭＳ 明朝" w:hint="eastAsia"/>
          <w:szCs w:val="24"/>
        </w:rPr>
        <w:t>とそれぞれ減少したものの、</w:t>
      </w:r>
      <w:r w:rsidR="00AE13A7">
        <w:rPr>
          <w:rFonts w:hAnsi="ＭＳ 明朝" w:hint="eastAsia"/>
          <w:szCs w:val="24"/>
        </w:rPr>
        <w:t>市債</w:t>
      </w:r>
      <w:r w:rsidR="00940888" w:rsidRPr="00842D3A">
        <w:rPr>
          <w:rFonts w:hAnsi="ＭＳ 明朝" w:hint="eastAsia"/>
          <w:szCs w:val="24"/>
        </w:rPr>
        <w:t>で</w:t>
      </w:r>
      <w:r w:rsidR="007B41C8">
        <w:rPr>
          <w:rFonts w:hAnsi="ＭＳ 明朝" w:hint="eastAsia"/>
          <w:szCs w:val="24"/>
        </w:rPr>
        <w:t>2,913,100</w:t>
      </w:r>
      <w:r w:rsidR="00491D15" w:rsidRPr="00842D3A">
        <w:rPr>
          <w:rFonts w:hAnsi="ＭＳ 明朝" w:hint="eastAsia"/>
          <w:szCs w:val="24"/>
        </w:rPr>
        <w:t>千円(</w:t>
      </w:r>
      <w:r w:rsidR="00CC6F7A">
        <w:rPr>
          <w:rFonts w:hAnsi="ＭＳ 明朝" w:hint="eastAsia"/>
          <w:szCs w:val="24"/>
        </w:rPr>
        <w:t>21.4</w:t>
      </w:r>
      <w:r w:rsidR="00940888" w:rsidRPr="00842D3A">
        <w:rPr>
          <w:rFonts w:hAnsi="ＭＳ 明朝" w:hint="eastAsia"/>
          <w:szCs w:val="24"/>
        </w:rPr>
        <w:t>％）</w:t>
      </w:r>
      <w:r w:rsidR="002D15FF" w:rsidRPr="00842D3A">
        <w:rPr>
          <w:rFonts w:hAnsi="ＭＳ 明朝" w:hint="eastAsia"/>
          <w:szCs w:val="24"/>
        </w:rPr>
        <w:t>、</w:t>
      </w:r>
    </w:p>
    <w:p w:rsidR="00940888" w:rsidRPr="00AC7E53" w:rsidRDefault="00AE13A7" w:rsidP="0046004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460048">
        <w:rPr>
          <w:rFonts w:hAnsi="ＭＳ 明朝" w:hint="eastAsia"/>
          <w:w w:val="98"/>
          <w:szCs w:val="24"/>
        </w:rPr>
        <w:t>繰入金</w:t>
      </w:r>
      <w:r w:rsidR="00D82582" w:rsidRPr="00460048">
        <w:rPr>
          <w:rFonts w:hAnsi="ＭＳ 明朝" w:hint="eastAsia"/>
          <w:w w:val="98"/>
          <w:szCs w:val="24"/>
        </w:rPr>
        <w:t>で</w:t>
      </w:r>
      <w:r w:rsidR="00CC6F7A" w:rsidRPr="00460048">
        <w:rPr>
          <w:rFonts w:hAnsi="ＭＳ 明朝" w:hint="eastAsia"/>
          <w:w w:val="98"/>
          <w:szCs w:val="24"/>
        </w:rPr>
        <w:t>1,628,303</w:t>
      </w:r>
      <w:r w:rsidR="00D82582" w:rsidRPr="00460048">
        <w:rPr>
          <w:rFonts w:hAnsi="ＭＳ 明朝" w:hint="eastAsia"/>
          <w:w w:val="98"/>
          <w:szCs w:val="24"/>
        </w:rPr>
        <w:t>千円</w:t>
      </w:r>
      <w:r w:rsidR="00F6554A" w:rsidRPr="00460048">
        <w:rPr>
          <w:rFonts w:hAnsi="ＭＳ 明朝" w:hint="eastAsia"/>
          <w:w w:val="98"/>
          <w:szCs w:val="24"/>
        </w:rPr>
        <w:t>(</w:t>
      </w:r>
      <w:r w:rsidR="00E23E55" w:rsidRPr="00460048">
        <w:rPr>
          <w:rFonts w:hAnsi="ＭＳ 明朝" w:hint="eastAsia"/>
          <w:w w:val="98"/>
          <w:szCs w:val="24"/>
        </w:rPr>
        <w:t>179.7</w:t>
      </w:r>
      <w:r w:rsidR="001C753B" w:rsidRPr="00460048">
        <w:rPr>
          <w:rFonts w:hAnsi="ＭＳ 明朝" w:hint="eastAsia"/>
          <w:w w:val="98"/>
          <w:szCs w:val="24"/>
        </w:rPr>
        <w:t>％</w:t>
      </w:r>
      <w:r w:rsidR="00D82582" w:rsidRPr="00460048">
        <w:rPr>
          <w:rFonts w:hAnsi="ＭＳ 明朝" w:hint="eastAsia"/>
          <w:w w:val="98"/>
          <w:szCs w:val="24"/>
        </w:rPr>
        <w:t>)</w:t>
      </w:r>
      <w:r w:rsidR="00491D15" w:rsidRPr="00460048">
        <w:rPr>
          <w:rFonts w:hAnsi="ＭＳ 明朝" w:hint="eastAsia"/>
          <w:w w:val="98"/>
          <w:szCs w:val="24"/>
        </w:rPr>
        <w:t>、</w:t>
      </w:r>
      <w:r w:rsidR="00460048" w:rsidRPr="00460048">
        <w:rPr>
          <w:rFonts w:hAnsi="ＭＳ 明朝" w:hint="eastAsia"/>
          <w:w w:val="98"/>
          <w:szCs w:val="24"/>
        </w:rPr>
        <w:t>市税で356,642千円(1.4％)、</w:t>
      </w:r>
      <w:r w:rsidR="00CC6F7A" w:rsidRPr="00460048">
        <w:rPr>
          <w:rFonts w:hAnsi="ＭＳ 明朝" w:hint="eastAsia"/>
          <w:w w:val="98"/>
          <w:szCs w:val="24"/>
        </w:rPr>
        <w:t>地方消費税交付金</w:t>
      </w:r>
      <w:r w:rsidR="00940888" w:rsidRPr="00460048">
        <w:rPr>
          <w:rFonts w:hAnsi="ＭＳ 明朝" w:hint="eastAsia"/>
          <w:w w:val="98"/>
          <w:szCs w:val="24"/>
        </w:rPr>
        <w:t>で</w:t>
      </w:r>
      <w:r w:rsidR="00CC6F7A">
        <w:rPr>
          <w:rFonts w:hAnsi="ＭＳ 明朝" w:hint="eastAsia"/>
          <w:szCs w:val="24"/>
        </w:rPr>
        <w:t>351,217</w:t>
      </w:r>
      <w:r w:rsidR="001C753B">
        <w:rPr>
          <w:rFonts w:hAnsi="ＭＳ 明朝" w:hint="eastAsia"/>
          <w:szCs w:val="24"/>
        </w:rPr>
        <w:t>千円(</w:t>
      </w:r>
      <w:r w:rsidR="00CC6F7A">
        <w:rPr>
          <w:rFonts w:hAnsi="ＭＳ 明朝" w:hint="eastAsia"/>
          <w:szCs w:val="24"/>
        </w:rPr>
        <w:t>21.0</w:t>
      </w:r>
      <w:r w:rsidR="001C753B">
        <w:rPr>
          <w:rFonts w:hAnsi="ＭＳ 明朝" w:hint="eastAsia"/>
          <w:szCs w:val="24"/>
        </w:rPr>
        <w:t>％)</w:t>
      </w:r>
      <w:r w:rsidR="00940888" w:rsidRPr="00AC7E53">
        <w:rPr>
          <w:rFonts w:hAnsi="ＭＳ 明朝" w:hint="eastAsia"/>
          <w:szCs w:val="24"/>
        </w:rPr>
        <w:t>とそれぞれ増加したことによるものである。</w:t>
      </w:r>
    </w:p>
    <w:p w:rsidR="00582CF2" w:rsidRPr="00AC7E53" w:rsidRDefault="00582CF2" w:rsidP="0049196E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w w:val="98"/>
          <w:szCs w:val="24"/>
        </w:rPr>
      </w:pPr>
      <w:r w:rsidRPr="00AC7E53">
        <w:rPr>
          <w:rFonts w:hAnsi="ＭＳ 明朝" w:hint="eastAsia"/>
          <w:w w:val="98"/>
          <w:szCs w:val="24"/>
        </w:rPr>
        <w:t xml:space="preserve">　国庫支出金の減少の主な要因は、国庫負担金、委託金がそれぞれ増加したものの、</w:t>
      </w:r>
    </w:p>
    <w:p w:rsidR="00661788" w:rsidRDefault="00582CF2" w:rsidP="00582CF2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国庫補助金が減少したことによるものである。</w:t>
      </w:r>
      <w:r w:rsidR="005F7B37">
        <w:rPr>
          <w:rFonts w:hAnsi="ＭＳ 明朝" w:hint="eastAsia"/>
          <w:szCs w:val="24"/>
        </w:rPr>
        <w:t>また、</w:t>
      </w:r>
      <w:r w:rsidR="00F6554A">
        <w:rPr>
          <w:rFonts w:hAnsi="ＭＳ 明朝" w:hint="eastAsia"/>
          <w:szCs w:val="24"/>
        </w:rPr>
        <w:t>地方交付税</w:t>
      </w:r>
      <w:r>
        <w:rPr>
          <w:rFonts w:hAnsi="ＭＳ 明朝" w:hint="eastAsia"/>
          <w:szCs w:val="24"/>
        </w:rPr>
        <w:t>においては、主に震災復興特別交付税がなくなったことによるも</w:t>
      </w:r>
      <w:r w:rsidR="00617ADC">
        <w:rPr>
          <w:rFonts w:hAnsi="ＭＳ 明朝" w:hint="eastAsia"/>
          <w:szCs w:val="24"/>
        </w:rPr>
        <w:t>のである。</w:t>
      </w:r>
    </w:p>
    <w:p w:rsidR="00F13BD3" w:rsidRDefault="00FC1ED7" w:rsidP="00F13BD3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一方、</w:t>
      </w:r>
      <w:r w:rsidR="0049196E" w:rsidRPr="00C0188E">
        <w:rPr>
          <w:rFonts w:hAnsi="ＭＳ 明朝" w:hint="eastAsia"/>
          <w:szCs w:val="24"/>
        </w:rPr>
        <w:t>歳入</w:t>
      </w:r>
      <w:r w:rsidR="00427CAB" w:rsidRPr="00C0188E">
        <w:rPr>
          <w:rFonts w:hAnsi="ＭＳ 明朝" w:hint="eastAsia"/>
          <w:szCs w:val="24"/>
        </w:rPr>
        <w:t>全体の</w:t>
      </w:r>
      <w:r w:rsidR="00E76E5F" w:rsidRPr="00C0188E">
        <w:rPr>
          <w:rFonts w:hAnsi="ＭＳ 明朝" w:hint="eastAsia"/>
          <w:szCs w:val="24"/>
        </w:rPr>
        <w:t>30.3％</w:t>
      </w:r>
      <w:r w:rsidR="0049196E" w:rsidRPr="00C0188E">
        <w:rPr>
          <w:rFonts w:hAnsi="ＭＳ 明朝" w:hint="eastAsia"/>
          <w:szCs w:val="24"/>
        </w:rPr>
        <w:t>を占める市税は</w:t>
      </w:r>
      <w:r w:rsidR="00AF44E4">
        <w:rPr>
          <w:rFonts w:hAnsi="ＭＳ 明朝" w:hint="eastAsia"/>
          <w:szCs w:val="24"/>
        </w:rPr>
        <w:t>25,638,375</w:t>
      </w:r>
      <w:r w:rsidR="009014B7" w:rsidRPr="00C0188E">
        <w:rPr>
          <w:rFonts w:hAnsi="ＭＳ 明朝" w:hint="eastAsia"/>
          <w:szCs w:val="24"/>
        </w:rPr>
        <w:t>千円で、</w:t>
      </w:r>
      <w:r w:rsidR="00427CAB" w:rsidRPr="00C0188E">
        <w:rPr>
          <w:rFonts w:hAnsi="ＭＳ 明朝" w:hint="eastAsia"/>
          <w:szCs w:val="24"/>
        </w:rPr>
        <w:t>主なものは</w:t>
      </w:r>
      <w:r w:rsidR="00C0188E" w:rsidRPr="00C0188E">
        <w:rPr>
          <w:rFonts w:hAnsi="ＭＳ 明朝" w:hint="eastAsia"/>
          <w:szCs w:val="24"/>
        </w:rPr>
        <w:t>固定</w:t>
      </w:r>
    </w:p>
    <w:p w:rsidR="00940888" w:rsidRPr="00C0188E" w:rsidRDefault="00C0188E" w:rsidP="00E23E5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資産税</w:t>
      </w:r>
      <w:r w:rsidR="00F13BD3">
        <w:rPr>
          <w:rFonts w:hAnsi="ＭＳ 明朝" w:hint="eastAsia"/>
          <w:szCs w:val="24"/>
        </w:rPr>
        <w:t>、</w:t>
      </w:r>
      <w:r w:rsidR="00E76E5F" w:rsidRPr="00F13BD3">
        <w:rPr>
          <w:rFonts w:hAnsi="ＭＳ 明朝" w:hint="eastAsia"/>
          <w:szCs w:val="24"/>
        </w:rPr>
        <w:t>市民税</w:t>
      </w:r>
      <w:r w:rsidR="008A251D" w:rsidRPr="00C0188E">
        <w:rPr>
          <w:rFonts w:hAnsi="ＭＳ 明朝" w:hint="eastAsia"/>
          <w:szCs w:val="24"/>
        </w:rPr>
        <w:t>、市たばこ税</w:t>
      </w:r>
      <w:r w:rsidR="00C63ED3">
        <w:rPr>
          <w:rFonts w:hAnsi="ＭＳ 明朝" w:hint="eastAsia"/>
          <w:szCs w:val="24"/>
        </w:rPr>
        <w:t>等</w:t>
      </w:r>
      <w:r w:rsidR="00F13BD3" w:rsidRPr="0028289D">
        <w:rPr>
          <w:rFonts w:hAnsi="ＭＳ 明朝" w:hint="eastAsia"/>
          <w:szCs w:val="24"/>
        </w:rPr>
        <w:t>と</w:t>
      </w:r>
      <w:r w:rsidR="00F13BD3">
        <w:rPr>
          <w:rFonts w:hAnsi="ＭＳ 明朝" w:hint="eastAsia"/>
          <w:szCs w:val="24"/>
        </w:rPr>
        <w:t>なっている</w:t>
      </w:r>
      <w:r w:rsidR="00F13BD3" w:rsidRPr="0028289D">
        <w:rPr>
          <w:rFonts w:hAnsi="ＭＳ 明朝" w:hint="eastAsia"/>
          <w:szCs w:val="24"/>
        </w:rPr>
        <w:t>。</w:t>
      </w:r>
    </w:p>
    <w:p w:rsidR="009B691E" w:rsidRDefault="00D3426B" w:rsidP="00874110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市債</w:t>
      </w:r>
      <w:r w:rsidR="00940888" w:rsidRPr="00C0188E">
        <w:rPr>
          <w:rFonts w:hAnsi="ＭＳ 明朝" w:hint="eastAsia"/>
          <w:szCs w:val="24"/>
        </w:rPr>
        <w:t>の収入済額は</w:t>
      </w:r>
      <w:r w:rsidR="009B691E">
        <w:rPr>
          <w:rFonts w:hAnsi="ＭＳ 明朝" w:hint="eastAsia"/>
          <w:szCs w:val="24"/>
        </w:rPr>
        <w:t>16,542,700</w:t>
      </w:r>
      <w:r w:rsidR="00940888" w:rsidRPr="00C0188E">
        <w:rPr>
          <w:rFonts w:hAnsi="ＭＳ 明朝" w:hint="eastAsia"/>
          <w:szCs w:val="24"/>
        </w:rPr>
        <w:t>千円</w:t>
      </w:r>
      <w:r w:rsidR="009014B7" w:rsidRPr="00C0188E">
        <w:rPr>
          <w:rFonts w:hAnsi="ＭＳ 明朝" w:hint="eastAsia"/>
          <w:szCs w:val="24"/>
        </w:rPr>
        <w:t>で、主なものは</w:t>
      </w:r>
      <w:r w:rsidR="009B691E">
        <w:rPr>
          <w:rFonts w:hAnsi="ＭＳ 明朝" w:hint="eastAsia"/>
          <w:szCs w:val="24"/>
        </w:rPr>
        <w:t>御車山会館建設事業債、</w:t>
      </w:r>
      <w:r w:rsidR="003309ED" w:rsidRPr="00C0188E">
        <w:rPr>
          <w:rFonts w:hAnsi="ＭＳ 明朝" w:hint="eastAsia"/>
          <w:szCs w:val="24"/>
        </w:rPr>
        <w:t>北陸新幹線対</w:t>
      </w:r>
      <w:r w:rsidR="003309ED" w:rsidRPr="0028289D">
        <w:rPr>
          <w:rFonts w:hAnsi="ＭＳ 明朝" w:hint="eastAsia"/>
          <w:szCs w:val="24"/>
        </w:rPr>
        <w:t>策</w:t>
      </w:r>
      <w:r w:rsidR="003309ED" w:rsidRPr="009014B7">
        <w:rPr>
          <w:rFonts w:hAnsi="ＭＳ 明朝" w:hint="eastAsia"/>
          <w:szCs w:val="24"/>
        </w:rPr>
        <w:t>事業債</w:t>
      </w:r>
      <w:r w:rsidR="0028289D" w:rsidRPr="009014B7">
        <w:rPr>
          <w:rFonts w:hAnsi="ＭＳ 明朝" w:hint="eastAsia"/>
          <w:szCs w:val="24"/>
        </w:rPr>
        <w:t>、</w:t>
      </w:r>
      <w:r w:rsidR="009B691E">
        <w:rPr>
          <w:rFonts w:hAnsi="ＭＳ 明朝" w:hint="eastAsia"/>
          <w:szCs w:val="24"/>
        </w:rPr>
        <w:t>学校施設整備事業債</w:t>
      </w:r>
      <w:r w:rsidR="00C63ED3">
        <w:rPr>
          <w:rFonts w:hAnsi="ＭＳ 明朝" w:hint="eastAsia"/>
          <w:szCs w:val="24"/>
        </w:rPr>
        <w:t>等</w:t>
      </w:r>
      <w:r w:rsidR="0007065B" w:rsidRPr="0028289D">
        <w:rPr>
          <w:rFonts w:hAnsi="ＭＳ 明朝" w:hint="eastAsia"/>
          <w:szCs w:val="24"/>
        </w:rPr>
        <w:t>と</w:t>
      </w:r>
      <w:r w:rsidR="00427CAB">
        <w:rPr>
          <w:rFonts w:hAnsi="ＭＳ 明朝" w:hint="eastAsia"/>
          <w:szCs w:val="24"/>
        </w:rPr>
        <w:t>なっている</w:t>
      </w:r>
      <w:r w:rsidR="00427CAB" w:rsidRPr="0028289D">
        <w:rPr>
          <w:rFonts w:hAnsi="ＭＳ 明朝" w:hint="eastAsia"/>
          <w:szCs w:val="24"/>
        </w:rPr>
        <w:t>。</w:t>
      </w:r>
    </w:p>
    <w:p w:rsidR="00940888" w:rsidRPr="005308EF" w:rsidRDefault="00072FC8" w:rsidP="005436BA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地方消費税交付金の収入済額は2,021,027千円で、</w:t>
      </w:r>
      <w:r w:rsidR="005436BA">
        <w:rPr>
          <w:rFonts w:hAnsi="ＭＳ 明朝" w:hint="eastAsia"/>
          <w:szCs w:val="24"/>
        </w:rPr>
        <w:t>これは税率の引</w:t>
      </w:r>
      <w:r w:rsidR="00E877A4">
        <w:rPr>
          <w:rFonts w:hAnsi="ＭＳ 明朝" w:hint="eastAsia"/>
          <w:szCs w:val="24"/>
        </w:rPr>
        <w:t>き</w:t>
      </w:r>
      <w:r w:rsidR="005436BA">
        <w:rPr>
          <w:rFonts w:hAnsi="ＭＳ 明朝" w:hint="eastAsia"/>
          <w:szCs w:val="24"/>
        </w:rPr>
        <w:t>上げにより増加したものである。</w:t>
      </w:r>
    </w:p>
    <w:p w:rsidR="00C60D8D" w:rsidRDefault="00940888" w:rsidP="00C60D8D">
      <w:pPr>
        <w:kinsoku w:val="0"/>
        <w:overflowPunct w:val="0"/>
        <w:snapToGrid w:val="0"/>
        <w:spacing w:line="240" w:lineRule="auto"/>
        <w:ind w:leftChars="300" w:left="720" w:firstLineChars="100" w:firstLine="223"/>
        <w:jc w:val="distribute"/>
        <w:rPr>
          <w:rFonts w:hAnsi="ＭＳ 明朝"/>
          <w:szCs w:val="24"/>
        </w:rPr>
      </w:pPr>
      <w:r w:rsidRPr="005436BA">
        <w:rPr>
          <w:rFonts w:hAnsi="ＭＳ 明朝" w:hint="eastAsia"/>
          <w:w w:val="93"/>
          <w:szCs w:val="24"/>
        </w:rPr>
        <w:t>収入未済額は</w:t>
      </w:r>
      <w:r w:rsidR="00AC7E53">
        <w:rPr>
          <w:rFonts w:hAnsi="ＭＳ 明朝" w:hint="eastAsia"/>
          <w:w w:val="93"/>
          <w:szCs w:val="24"/>
        </w:rPr>
        <w:t>4,683,859</w:t>
      </w:r>
      <w:r w:rsidRPr="005436BA">
        <w:rPr>
          <w:rFonts w:hAnsi="ＭＳ 明朝" w:hint="eastAsia"/>
          <w:w w:val="93"/>
          <w:szCs w:val="24"/>
        </w:rPr>
        <w:t>千円で、主なものは</w:t>
      </w:r>
      <w:r w:rsidR="00F82EE0" w:rsidRPr="005436BA">
        <w:rPr>
          <w:rFonts w:hAnsi="ＭＳ 明朝" w:hint="eastAsia"/>
          <w:w w:val="93"/>
          <w:szCs w:val="24"/>
        </w:rPr>
        <w:t>市債</w:t>
      </w:r>
      <w:r w:rsidR="005436BA" w:rsidRPr="005436BA">
        <w:rPr>
          <w:rFonts w:hAnsi="ＭＳ 明朝" w:hint="eastAsia"/>
          <w:w w:val="93"/>
          <w:szCs w:val="24"/>
        </w:rPr>
        <w:t>2,098,700</w:t>
      </w:r>
      <w:r w:rsidR="00F82EE0" w:rsidRPr="005436BA">
        <w:rPr>
          <w:rFonts w:hAnsi="ＭＳ 明朝" w:hint="eastAsia"/>
          <w:w w:val="93"/>
          <w:szCs w:val="24"/>
        </w:rPr>
        <w:t>千円、</w:t>
      </w:r>
      <w:r w:rsidR="005436BA" w:rsidRPr="005436BA">
        <w:rPr>
          <w:rFonts w:hAnsi="ＭＳ 明朝" w:hint="eastAsia"/>
          <w:w w:val="93"/>
          <w:szCs w:val="24"/>
        </w:rPr>
        <w:t>市税1,356,188千円、</w:t>
      </w:r>
      <w:r w:rsidR="00F82EE0" w:rsidRPr="002F5AED">
        <w:rPr>
          <w:rFonts w:hAnsi="ＭＳ 明朝" w:hint="eastAsia"/>
          <w:szCs w:val="24"/>
        </w:rPr>
        <w:t>国庫支出金</w:t>
      </w:r>
      <w:r w:rsidR="005436BA">
        <w:rPr>
          <w:rFonts w:hAnsi="ＭＳ 明朝" w:hint="eastAsia"/>
          <w:szCs w:val="24"/>
        </w:rPr>
        <w:t>976,453千円</w:t>
      </w:r>
      <w:r w:rsidRPr="002F5AED">
        <w:rPr>
          <w:rFonts w:hAnsi="ＭＳ 明朝" w:hint="eastAsia"/>
          <w:szCs w:val="24"/>
        </w:rPr>
        <w:t>であ</w:t>
      </w:r>
      <w:r w:rsidR="00F82EE0" w:rsidRPr="002F5AED">
        <w:rPr>
          <w:rFonts w:hAnsi="ＭＳ 明朝" w:hint="eastAsia"/>
          <w:szCs w:val="24"/>
        </w:rPr>
        <w:t>り、</w:t>
      </w:r>
      <w:r w:rsidRPr="002F5AED">
        <w:rPr>
          <w:rFonts w:hAnsi="ＭＳ 明朝" w:hint="eastAsia"/>
          <w:szCs w:val="24"/>
        </w:rPr>
        <w:t>前年度に比べ</w:t>
      </w:r>
      <w:r w:rsidR="00AC7E53">
        <w:rPr>
          <w:rFonts w:hAnsi="ＭＳ 明朝" w:hint="eastAsia"/>
          <w:szCs w:val="24"/>
        </w:rPr>
        <w:t>12,591,724</w:t>
      </w:r>
      <w:r w:rsidR="00427CAB">
        <w:rPr>
          <w:rFonts w:hAnsi="ＭＳ 明朝" w:hint="eastAsia"/>
          <w:szCs w:val="24"/>
        </w:rPr>
        <w:t>千円(</w:t>
      </w:r>
      <w:r w:rsidR="00F93519" w:rsidRPr="002F5AED">
        <w:rPr>
          <w:rFonts w:hAnsi="ＭＳ 明朝" w:hint="eastAsia"/>
          <w:szCs w:val="24"/>
        </w:rPr>
        <w:t>△</w:t>
      </w:r>
      <w:r w:rsidR="00A72591">
        <w:rPr>
          <w:rFonts w:hAnsi="ＭＳ 明朝" w:hint="eastAsia"/>
          <w:szCs w:val="24"/>
        </w:rPr>
        <w:t>72.9</w:t>
      </w:r>
      <w:r w:rsidR="00427CAB">
        <w:rPr>
          <w:rFonts w:hAnsi="ＭＳ 明朝" w:hint="eastAsia"/>
          <w:szCs w:val="24"/>
        </w:rPr>
        <w:t>％)</w:t>
      </w:r>
    </w:p>
    <w:p w:rsidR="00940888" w:rsidRPr="002F5AED" w:rsidRDefault="00F93519" w:rsidP="00C60D8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減少</w:t>
      </w:r>
      <w:r w:rsidR="00940888" w:rsidRPr="002F5AED">
        <w:rPr>
          <w:rFonts w:hAnsi="ＭＳ 明朝" w:hint="eastAsia"/>
          <w:szCs w:val="24"/>
        </w:rPr>
        <w:t>している。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不納欠損額は</w:t>
      </w:r>
      <w:r w:rsidR="00A72591">
        <w:rPr>
          <w:rFonts w:hAnsi="ＭＳ 明朝" w:hint="eastAsia"/>
          <w:szCs w:val="24"/>
        </w:rPr>
        <w:t xml:space="preserve"> 243,223</w:t>
      </w:r>
      <w:r w:rsidRPr="002F5AED">
        <w:rPr>
          <w:rFonts w:hAnsi="ＭＳ 明朝" w:hint="eastAsia"/>
          <w:szCs w:val="24"/>
        </w:rPr>
        <w:t>千円で、前年度に比べ</w:t>
      </w:r>
      <w:r w:rsidR="00A72591">
        <w:rPr>
          <w:rFonts w:hAnsi="ＭＳ 明朝" w:hint="eastAsia"/>
          <w:szCs w:val="24"/>
        </w:rPr>
        <w:t>892</w:t>
      </w:r>
      <w:r w:rsidRPr="002F5AED">
        <w:rPr>
          <w:rFonts w:hAnsi="ＭＳ 明朝" w:hint="eastAsia"/>
          <w:szCs w:val="24"/>
        </w:rPr>
        <w:t>千円</w:t>
      </w:r>
      <w:r w:rsidR="00427CAB">
        <w:rPr>
          <w:rFonts w:hAnsi="ＭＳ 明朝" w:hint="eastAsia"/>
          <w:szCs w:val="24"/>
        </w:rPr>
        <w:t>(</w:t>
      </w:r>
      <w:r w:rsidR="00A72591">
        <w:rPr>
          <w:rFonts w:hAnsi="ＭＳ 明朝" w:hint="eastAsia"/>
          <w:szCs w:val="24"/>
        </w:rPr>
        <w:t>0.4</w:t>
      </w:r>
      <w:r w:rsidRPr="002F5AED">
        <w:rPr>
          <w:rFonts w:hAnsi="ＭＳ 明朝" w:hint="eastAsia"/>
          <w:szCs w:val="24"/>
        </w:rPr>
        <w:t>％</w:t>
      </w:r>
      <w:r w:rsidR="00427CAB">
        <w:rPr>
          <w:rFonts w:hAnsi="ＭＳ 明朝" w:hint="eastAsia"/>
          <w:szCs w:val="24"/>
        </w:rPr>
        <w:t>)</w:t>
      </w:r>
      <w:r w:rsidR="00A72591">
        <w:rPr>
          <w:rFonts w:hAnsi="ＭＳ 明朝" w:hint="eastAsia"/>
          <w:szCs w:val="24"/>
        </w:rPr>
        <w:t>増加</w:t>
      </w:r>
      <w:r w:rsidRPr="002F5AED">
        <w:rPr>
          <w:rFonts w:hAnsi="ＭＳ 明朝" w:hint="eastAsia"/>
          <w:szCs w:val="24"/>
        </w:rPr>
        <w:t>して</w:t>
      </w:r>
    </w:p>
    <w:p w:rsidR="00940888" w:rsidRPr="002F5AED" w:rsidRDefault="00940888" w:rsidP="00491D1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940888" w:rsidRDefault="0047129B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1B1618" w:rsidRDefault="001B1618" w:rsidP="00940888">
      <w:pPr>
        <w:spacing w:line="240" w:lineRule="auto"/>
        <w:rPr>
          <w:rFonts w:hAnsi="ＭＳ 明朝"/>
          <w:szCs w:val="24"/>
        </w:rPr>
      </w:pPr>
    </w:p>
    <w:p w:rsidR="00F13BD3" w:rsidRPr="00940888" w:rsidRDefault="00F13BD3" w:rsidP="00940888">
      <w:pPr>
        <w:spacing w:line="240" w:lineRule="auto"/>
        <w:rPr>
          <w:rFonts w:hAnsi="ＭＳ 明朝"/>
          <w:szCs w:val="24"/>
        </w:rPr>
      </w:pP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62344B" w:rsidRDefault="0062344B" w:rsidP="0062344B">
      <w:pPr>
        <w:spacing w:line="240" w:lineRule="auto"/>
        <w:ind w:right="960"/>
        <w:rPr>
          <w:rFonts w:hAnsi="ＭＳ 明朝"/>
          <w:szCs w:val="24"/>
        </w:rPr>
      </w:pPr>
    </w:p>
    <w:p w:rsidR="00F82EE0" w:rsidRDefault="00F82EE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62344B" w:rsidRDefault="00B60D86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="0062344B">
        <w:rPr>
          <w:rFonts w:ascii="ＭＳ ゴシック" w:eastAsia="ＭＳ ゴシック" w:hAnsi="ＭＳ ゴシック" w:hint="eastAsia"/>
          <w:szCs w:val="24"/>
        </w:rPr>
        <w:t>歳　入</w:t>
      </w:r>
    </w:p>
    <w:p w:rsidR="00460048" w:rsidRPr="00B60D86" w:rsidRDefault="00460048" w:rsidP="0062344B">
      <w:pPr>
        <w:spacing w:line="240" w:lineRule="auto"/>
        <w:ind w:right="480"/>
        <w:jc w:val="left"/>
        <w:rPr>
          <w:rFonts w:ascii="ＭＳ ゴシック" w:eastAsia="ＭＳ ゴシック" w:hAnsi="ＭＳ ゴシック"/>
          <w:szCs w:val="24"/>
        </w:rPr>
      </w:pPr>
    </w:p>
    <w:bookmarkStart w:id="2" w:name="_MON_1438688165"/>
    <w:bookmarkEnd w:id="2"/>
    <w:p w:rsidR="003E7FE5" w:rsidRPr="00940888" w:rsidRDefault="005D015C" w:rsidP="0094088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2479">
          <v:shape id="_x0000_i1026" type="#_x0000_t75" style="width:476.5pt;height:650.45pt" o:ole="">
            <v:imagedata r:id="rId11" o:title=""/>
          </v:shape>
          <o:OLEObject Type="Embed" ProgID="Excel.Sheet.12" ShapeID="_x0000_i1026" DrawAspect="Content" ObjectID="_1509179450" r:id="rId12"/>
        </w:object>
      </w:r>
    </w:p>
    <w:p w:rsidR="003E7FE5" w:rsidRPr="003E1B30" w:rsidRDefault="003E1B30" w:rsidP="00DD0C22">
      <w:pPr>
        <w:spacing w:line="240" w:lineRule="auto"/>
        <w:rPr>
          <w:rFonts w:hAnsi="ＭＳ 明朝"/>
          <w:sz w:val="18"/>
          <w:szCs w:val="18"/>
        </w:rPr>
      </w:pPr>
      <w:r w:rsidRPr="003E1B30">
        <w:rPr>
          <w:rFonts w:hAnsi="ＭＳ 明朝" w:hint="eastAsia"/>
          <w:sz w:val="18"/>
          <w:szCs w:val="18"/>
        </w:rPr>
        <w:t xml:space="preserve">　(注) 「収入済額」欄の( )内の金額は、「収入済額」に含まれる還付未了額である。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E23E55" w:rsidRPr="00CE5B6B" w:rsidRDefault="00430062" w:rsidP="00430062">
      <w:pPr>
        <w:spacing w:line="240" w:lineRule="auto"/>
        <w:ind w:right="-1" w:firstLineChars="3400" w:firstLine="748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CE5B6B">
        <w:rPr>
          <w:rFonts w:hAnsi="ＭＳ 明朝" w:hint="eastAsia"/>
          <w:sz w:val="22"/>
          <w:szCs w:val="22"/>
        </w:rPr>
        <w:t>（単位：千円・％）</w:t>
      </w:r>
    </w:p>
    <w:bookmarkStart w:id="3" w:name="_MON_1438691926"/>
    <w:bookmarkEnd w:id="3"/>
    <w:p w:rsidR="001C753B" w:rsidRPr="00AE1072" w:rsidRDefault="00BE45B0" w:rsidP="00DD0C2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811" w:dyaOrig="12465">
          <v:shape id="_x0000_i1027" type="#_x0000_t75" style="width:479.75pt;height:652.85pt" o:ole="">
            <v:imagedata r:id="rId13" o:title=""/>
          </v:shape>
          <o:OLEObject Type="Embed" ProgID="Excel.Sheet.12" ShapeID="_x0000_i1027" DrawAspect="Content" ObjectID="_1509179451" r:id="rId14"/>
        </w:object>
      </w:r>
    </w:p>
    <w:p w:rsidR="00D7043C" w:rsidRDefault="00D7043C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D7043C" w:rsidRDefault="00D7043C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t>⑵  市税の状況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32119B">
        <w:rPr>
          <w:rFonts w:hAnsi="ＭＳ 明朝" w:hint="eastAsia"/>
          <w:szCs w:val="24"/>
        </w:rPr>
        <w:t>収入</w:t>
      </w:r>
      <w:r w:rsidRPr="006B089C">
        <w:rPr>
          <w:rFonts w:hAnsi="ＭＳ 明朝" w:hint="eastAsia"/>
          <w:szCs w:val="24"/>
        </w:rPr>
        <w:t>済額は</w:t>
      </w:r>
      <w:r w:rsidR="0005314C" w:rsidRPr="006B089C">
        <w:rPr>
          <w:rFonts w:hAnsi="ＭＳ 明朝" w:hint="eastAsia"/>
          <w:szCs w:val="24"/>
        </w:rPr>
        <w:t xml:space="preserve"> 25,638,375</w:t>
      </w:r>
      <w:r w:rsidRPr="006B089C">
        <w:rPr>
          <w:rFonts w:hAnsi="ＭＳ 明朝" w:hint="eastAsia"/>
          <w:szCs w:val="24"/>
        </w:rPr>
        <w:t>千円で、前年度に比べ</w:t>
      </w:r>
      <w:r w:rsidR="00C579DD" w:rsidRPr="006B089C">
        <w:rPr>
          <w:rFonts w:hAnsi="ＭＳ 明朝" w:hint="eastAsia"/>
          <w:szCs w:val="24"/>
        </w:rPr>
        <w:t xml:space="preserve"> 356,642</w:t>
      </w:r>
      <w:r w:rsidRPr="006B089C">
        <w:rPr>
          <w:rFonts w:hAnsi="ＭＳ 明朝" w:hint="eastAsia"/>
          <w:szCs w:val="24"/>
        </w:rPr>
        <w:t>千円(</w:t>
      </w:r>
      <w:r w:rsidR="005D1B52" w:rsidRPr="006B089C">
        <w:rPr>
          <w:rFonts w:hAnsi="ＭＳ 明朝" w:hint="eastAsia"/>
          <w:szCs w:val="24"/>
        </w:rPr>
        <w:t>1</w:t>
      </w:r>
      <w:r w:rsidR="00192B26" w:rsidRPr="006B089C">
        <w:rPr>
          <w:rFonts w:hAnsi="ＭＳ 明朝" w:hint="eastAsia"/>
          <w:szCs w:val="24"/>
        </w:rPr>
        <w:t>.4</w:t>
      </w:r>
      <w:r w:rsidRPr="006B089C">
        <w:rPr>
          <w:rFonts w:hAnsi="ＭＳ 明朝" w:hint="eastAsia"/>
          <w:szCs w:val="24"/>
        </w:rPr>
        <w:t>％)</w:t>
      </w:r>
      <w:r w:rsidR="00192B26" w:rsidRPr="006B089C">
        <w:rPr>
          <w:rFonts w:hAnsi="ＭＳ 明朝" w:hint="eastAsia"/>
          <w:szCs w:val="24"/>
        </w:rPr>
        <w:t>増加</w:t>
      </w:r>
      <w:r w:rsidRPr="006B089C">
        <w:rPr>
          <w:rFonts w:hAnsi="ＭＳ 明朝" w:hint="eastAsia"/>
          <w:szCs w:val="24"/>
        </w:rPr>
        <w:t>、対予算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収入率は</w:t>
      </w:r>
      <w:r w:rsidR="005D1B52" w:rsidRPr="006B089C">
        <w:rPr>
          <w:rFonts w:hAnsi="ＭＳ 明朝" w:hint="eastAsia"/>
          <w:szCs w:val="24"/>
        </w:rPr>
        <w:t>0.3</w:t>
      </w:r>
      <w:r w:rsidRPr="006B089C">
        <w:rPr>
          <w:rFonts w:hAnsi="ＭＳ 明朝" w:hint="eastAsia"/>
          <w:szCs w:val="24"/>
        </w:rPr>
        <w:t>ポイント</w:t>
      </w:r>
      <w:r w:rsidR="0032119B" w:rsidRPr="006B089C">
        <w:rPr>
          <w:rFonts w:hAnsi="ＭＳ 明朝" w:hint="eastAsia"/>
          <w:szCs w:val="24"/>
        </w:rPr>
        <w:t>、</w:t>
      </w:r>
      <w:r w:rsidRPr="006B089C">
        <w:rPr>
          <w:rFonts w:hAnsi="ＭＳ 明朝" w:hint="eastAsia"/>
          <w:szCs w:val="24"/>
        </w:rPr>
        <w:t>対調定収納率は</w:t>
      </w:r>
      <w:r w:rsidR="005D1B52" w:rsidRPr="006B089C">
        <w:rPr>
          <w:rFonts w:hAnsi="ＭＳ 明朝" w:hint="eastAsia"/>
          <w:szCs w:val="24"/>
        </w:rPr>
        <w:t>0.5</w:t>
      </w:r>
      <w:r w:rsidRPr="006B089C">
        <w:rPr>
          <w:rFonts w:hAnsi="ＭＳ 明朝" w:hint="eastAsia"/>
          <w:szCs w:val="24"/>
        </w:rPr>
        <w:t>ポイント</w:t>
      </w:r>
      <w:r w:rsidR="0032119B" w:rsidRPr="006B089C">
        <w:rPr>
          <w:rFonts w:hAnsi="ＭＳ 明朝" w:hint="eastAsia"/>
          <w:szCs w:val="24"/>
        </w:rPr>
        <w:t>とそれぞれ</w:t>
      </w:r>
      <w:r w:rsidRPr="006B089C">
        <w:rPr>
          <w:rFonts w:hAnsi="ＭＳ 明朝" w:hint="eastAsia"/>
          <w:szCs w:val="24"/>
        </w:rPr>
        <w:t>上昇している。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収入済額の主なものは、市民税</w:t>
      </w:r>
      <w:r w:rsidR="00DF0E9A" w:rsidRPr="006B089C">
        <w:rPr>
          <w:rFonts w:hAnsi="ＭＳ 明朝" w:hint="eastAsia"/>
          <w:szCs w:val="24"/>
        </w:rPr>
        <w:t>10,836,823</w:t>
      </w:r>
      <w:r w:rsidRPr="006B089C">
        <w:rPr>
          <w:rFonts w:hAnsi="ＭＳ 明朝" w:hint="eastAsia"/>
          <w:szCs w:val="24"/>
        </w:rPr>
        <w:t>千円、固定資産税</w:t>
      </w:r>
      <w:r w:rsidR="00DF0E9A" w:rsidRPr="006B089C">
        <w:rPr>
          <w:rFonts w:hAnsi="ＭＳ 明朝" w:hint="eastAsia"/>
          <w:szCs w:val="24"/>
        </w:rPr>
        <w:t>13,069,725</w:t>
      </w:r>
      <w:r w:rsidRPr="006B089C">
        <w:rPr>
          <w:rFonts w:hAnsi="ＭＳ 明朝" w:hint="eastAsia"/>
          <w:szCs w:val="24"/>
        </w:rPr>
        <w:t>千円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である。</w:t>
      </w:r>
    </w:p>
    <w:p w:rsidR="00986458" w:rsidRPr="006B089C" w:rsidRDefault="00986458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市民税のうち、個人市民税は、</w:t>
      </w:r>
      <w:r w:rsidR="00C579DD" w:rsidRPr="006B089C">
        <w:rPr>
          <w:rFonts w:hAnsi="ＭＳ 明朝" w:hint="eastAsia"/>
          <w:szCs w:val="24"/>
        </w:rPr>
        <w:t>8,519,244</w:t>
      </w:r>
      <w:r w:rsidRPr="006B089C">
        <w:rPr>
          <w:rFonts w:hAnsi="ＭＳ 明朝" w:hint="eastAsia"/>
          <w:szCs w:val="24"/>
        </w:rPr>
        <w:t>千円で前年度に比べ</w:t>
      </w:r>
      <w:r w:rsidR="00C579DD" w:rsidRPr="006B089C">
        <w:rPr>
          <w:rFonts w:hAnsi="ＭＳ 明朝" w:hint="eastAsia"/>
          <w:szCs w:val="24"/>
        </w:rPr>
        <w:t>88,902</w:t>
      </w:r>
      <w:r w:rsidRPr="006B089C">
        <w:rPr>
          <w:rFonts w:hAnsi="ＭＳ 明朝" w:hint="eastAsia"/>
          <w:szCs w:val="24"/>
        </w:rPr>
        <w:t>千円</w:t>
      </w:r>
      <w:r w:rsidR="00DF0E9A" w:rsidRPr="006B089C">
        <w:rPr>
          <w:rFonts w:hAnsi="ＭＳ 明朝" w:hint="eastAsia"/>
          <w:szCs w:val="24"/>
        </w:rPr>
        <w:t xml:space="preserve"> (1.1</w:t>
      </w:r>
      <w:r w:rsidRPr="006B089C">
        <w:rPr>
          <w:rFonts w:hAnsi="ＭＳ 明朝" w:hint="eastAsia"/>
          <w:szCs w:val="24"/>
        </w:rPr>
        <w:t>％)</w:t>
      </w:r>
      <w:r w:rsidRPr="0038782D">
        <w:rPr>
          <w:rFonts w:hAnsi="ＭＳ 明朝" w:hint="eastAsia"/>
          <w:w w:val="98"/>
          <w:szCs w:val="24"/>
        </w:rPr>
        <w:t>増加している。これは</w:t>
      </w:r>
      <w:r w:rsidR="005F7B37" w:rsidRPr="0038782D">
        <w:rPr>
          <w:rFonts w:hAnsi="ＭＳ 明朝" w:hint="eastAsia"/>
          <w:w w:val="98"/>
          <w:szCs w:val="24"/>
        </w:rPr>
        <w:t>主に、</w:t>
      </w:r>
      <w:r w:rsidR="007C5F94" w:rsidRPr="0038782D">
        <w:rPr>
          <w:rFonts w:hAnsi="ＭＳ 明朝" w:hint="eastAsia"/>
          <w:w w:val="98"/>
          <w:szCs w:val="24"/>
        </w:rPr>
        <w:t>均等割</w:t>
      </w:r>
      <w:r w:rsidR="0003487F" w:rsidRPr="0038782D">
        <w:rPr>
          <w:rFonts w:hAnsi="ＭＳ 明朝" w:hint="eastAsia"/>
          <w:w w:val="98"/>
          <w:szCs w:val="24"/>
        </w:rPr>
        <w:t>の税額</w:t>
      </w:r>
      <w:r w:rsidR="00D7043C" w:rsidRPr="0038782D">
        <w:rPr>
          <w:rFonts w:hAnsi="ＭＳ 明朝" w:hint="eastAsia"/>
          <w:w w:val="98"/>
          <w:szCs w:val="24"/>
        </w:rPr>
        <w:t>が引</w:t>
      </w:r>
      <w:r w:rsidR="008045CA" w:rsidRPr="0038782D">
        <w:rPr>
          <w:rFonts w:hAnsi="ＭＳ 明朝" w:hint="eastAsia"/>
          <w:w w:val="98"/>
          <w:szCs w:val="24"/>
        </w:rPr>
        <w:t>き</w:t>
      </w:r>
      <w:r w:rsidR="00D7043C" w:rsidRPr="0038782D">
        <w:rPr>
          <w:rFonts w:hAnsi="ＭＳ 明朝" w:hint="eastAsia"/>
          <w:w w:val="98"/>
          <w:szCs w:val="24"/>
        </w:rPr>
        <w:t>上</w:t>
      </w:r>
      <w:r w:rsidR="0038782D" w:rsidRPr="0038782D">
        <w:rPr>
          <w:rFonts w:hAnsi="ＭＳ 明朝" w:hint="eastAsia"/>
          <w:w w:val="98"/>
          <w:szCs w:val="24"/>
        </w:rPr>
        <w:t>げ</w:t>
      </w:r>
      <w:r w:rsidR="00D7043C" w:rsidRPr="0038782D">
        <w:rPr>
          <w:rFonts w:hAnsi="ＭＳ 明朝" w:hint="eastAsia"/>
          <w:w w:val="98"/>
          <w:szCs w:val="24"/>
        </w:rPr>
        <w:t>られた</w:t>
      </w:r>
      <w:r w:rsidR="007C5F94" w:rsidRPr="0038782D">
        <w:rPr>
          <w:rFonts w:hAnsi="ＭＳ 明朝" w:hint="eastAsia"/>
          <w:w w:val="98"/>
          <w:szCs w:val="24"/>
        </w:rPr>
        <w:t>こと</w:t>
      </w:r>
      <w:r w:rsidRPr="0038782D">
        <w:rPr>
          <w:rFonts w:hAnsi="ＭＳ 明朝" w:hint="eastAsia"/>
          <w:w w:val="98"/>
          <w:szCs w:val="24"/>
        </w:rPr>
        <w:t>によるものである。</w:t>
      </w:r>
    </w:p>
    <w:p w:rsidR="00986458" w:rsidRPr="006B089C" w:rsidRDefault="00986458" w:rsidP="00D21795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法人市民税は、</w:t>
      </w:r>
      <w:r w:rsidR="00C579DD" w:rsidRPr="006B089C">
        <w:rPr>
          <w:rFonts w:hAnsi="ＭＳ 明朝" w:hint="eastAsia"/>
          <w:szCs w:val="24"/>
        </w:rPr>
        <w:t>2,317,579</w:t>
      </w:r>
      <w:r w:rsidRPr="006B089C">
        <w:rPr>
          <w:rFonts w:hAnsi="ＭＳ 明朝" w:hint="eastAsia"/>
          <w:szCs w:val="24"/>
        </w:rPr>
        <w:t>千円で前年度に比べ</w:t>
      </w:r>
      <w:r w:rsidR="00C579DD" w:rsidRPr="006B089C">
        <w:rPr>
          <w:rFonts w:hAnsi="ＭＳ 明朝" w:hint="eastAsia"/>
          <w:szCs w:val="24"/>
        </w:rPr>
        <w:t>305,009</w:t>
      </w:r>
      <w:r w:rsidR="00DF0E9A" w:rsidRPr="006B089C">
        <w:rPr>
          <w:rFonts w:hAnsi="ＭＳ 明朝" w:hint="eastAsia"/>
          <w:szCs w:val="24"/>
        </w:rPr>
        <w:t>千円（15.2％）増加</w:t>
      </w:r>
      <w:r w:rsidRPr="006B089C">
        <w:rPr>
          <w:rFonts w:hAnsi="ＭＳ 明朝" w:hint="eastAsia"/>
          <w:szCs w:val="24"/>
        </w:rPr>
        <w:t>している。これは、</w:t>
      </w:r>
      <w:r w:rsidR="009C2A79" w:rsidRPr="006B089C">
        <w:rPr>
          <w:rFonts w:hAnsi="ＭＳ 明朝" w:hint="eastAsia"/>
          <w:szCs w:val="24"/>
        </w:rPr>
        <w:t>経済対策</w:t>
      </w:r>
      <w:r w:rsidR="0003487F" w:rsidRPr="006B089C">
        <w:rPr>
          <w:rFonts w:hAnsi="ＭＳ 明朝" w:hint="eastAsia"/>
          <w:szCs w:val="24"/>
        </w:rPr>
        <w:t>等</w:t>
      </w:r>
      <w:r w:rsidR="009C2A79" w:rsidRPr="006B089C">
        <w:rPr>
          <w:rFonts w:hAnsi="ＭＳ 明朝" w:hint="eastAsia"/>
          <w:szCs w:val="24"/>
        </w:rPr>
        <w:t>の効果</w:t>
      </w:r>
      <w:r w:rsidR="0003487F" w:rsidRPr="006B089C">
        <w:rPr>
          <w:rFonts w:hAnsi="ＭＳ 明朝" w:hint="eastAsia"/>
          <w:szCs w:val="24"/>
        </w:rPr>
        <w:t>により企業業績が回復したことによるものである</w:t>
      </w:r>
      <w:r w:rsidRPr="006B089C">
        <w:rPr>
          <w:rFonts w:hAnsi="ＭＳ 明朝" w:hint="eastAsia"/>
          <w:szCs w:val="24"/>
        </w:rPr>
        <w:t>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固定資産税は、</w:t>
      </w:r>
      <w:r w:rsidR="009C2A79" w:rsidRPr="006B089C">
        <w:rPr>
          <w:rFonts w:hAnsi="ＭＳ 明朝" w:hint="eastAsia"/>
          <w:szCs w:val="24"/>
        </w:rPr>
        <w:t>13,069,725</w:t>
      </w:r>
      <w:r w:rsidRPr="006B089C">
        <w:rPr>
          <w:rFonts w:hAnsi="ＭＳ 明朝" w:hint="eastAsia"/>
          <w:szCs w:val="24"/>
        </w:rPr>
        <w:t>千円で前年度に比べ</w:t>
      </w:r>
      <w:r w:rsidR="009C2A79" w:rsidRPr="006B089C">
        <w:rPr>
          <w:rFonts w:hAnsi="ＭＳ 明朝" w:hint="eastAsia"/>
          <w:szCs w:val="24"/>
        </w:rPr>
        <w:t>5,841</w:t>
      </w:r>
      <w:r w:rsidRPr="006B089C">
        <w:rPr>
          <w:rFonts w:hAnsi="ＭＳ 明朝" w:hint="eastAsia"/>
          <w:szCs w:val="24"/>
        </w:rPr>
        <w:t>千円</w:t>
      </w:r>
      <w:r w:rsidR="006E36A0" w:rsidRPr="006B089C">
        <w:rPr>
          <w:rFonts w:hAnsi="ＭＳ 明朝" w:hint="eastAsia"/>
          <w:szCs w:val="24"/>
        </w:rPr>
        <w:t>（</w:t>
      </w:r>
      <w:r w:rsidR="009C2A79" w:rsidRPr="006B089C">
        <w:rPr>
          <w:rFonts w:hAnsi="ＭＳ 明朝" w:hint="eastAsia"/>
          <w:szCs w:val="24"/>
        </w:rPr>
        <w:t>0</w:t>
      </w:r>
      <w:r w:rsidR="006E36A0" w:rsidRPr="006B089C">
        <w:rPr>
          <w:rFonts w:hAnsi="ＭＳ 明朝" w:hint="eastAsia"/>
          <w:szCs w:val="24"/>
        </w:rPr>
        <w:t>.1</w:t>
      </w:r>
      <w:r w:rsidRPr="006B089C">
        <w:rPr>
          <w:rFonts w:hAnsi="ＭＳ 明朝" w:hint="eastAsia"/>
          <w:szCs w:val="24"/>
        </w:rPr>
        <w:t>％）</w:t>
      </w:r>
      <w:r w:rsidR="006E36A0" w:rsidRPr="006B089C">
        <w:rPr>
          <w:rFonts w:hAnsi="ＭＳ 明朝" w:hint="eastAsia"/>
          <w:szCs w:val="24"/>
        </w:rPr>
        <w:t>増加</w:t>
      </w:r>
      <w:r w:rsidRPr="006B089C">
        <w:rPr>
          <w:rFonts w:hAnsi="ＭＳ 明朝" w:hint="eastAsia"/>
          <w:szCs w:val="24"/>
        </w:rPr>
        <w:t>して</w:t>
      </w:r>
    </w:p>
    <w:p w:rsidR="00986458" w:rsidRPr="006B089C" w:rsidRDefault="00986458" w:rsidP="00D7043C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いる。これは主に</w:t>
      </w:r>
      <w:r w:rsidR="00D7043C" w:rsidRPr="006B089C">
        <w:rPr>
          <w:rFonts w:hAnsi="ＭＳ 明朝" w:hint="eastAsia"/>
          <w:szCs w:val="24"/>
        </w:rPr>
        <w:t>、</w:t>
      </w:r>
      <w:r w:rsidR="00B115A4" w:rsidRPr="006B089C">
        <w:rPr>
          <w:rFonts w:hAnsi="ＭＳ 明朝" w:hint="eastAsia"/>
          <w:szCs w:val="24"/>
        </w:rPr>
        <w:t>新築や増築家屋の登録数が増加したこと</w:t>
      </w:r>
      <w:r w:rsidRPr="006B089C">
        <w:rPr>
          <w:rFonts w:hAnsi="ＭＳ 明朝" w:hint="eastAsia"/>
          <w:szCs w:val="24"/>
        </w:rPr>
        <w:t>によるものである。</w:t>
      </w:r>
    </w:p>
    <w:p w:rsidR="00DB0DA3" w:rsidRPr="006B089C" w:rsidRDefault="00DB0DA3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軽自動車税は</w:t>
      </w:r>
      <w:r w:rsidR="00C579DD" w:rsidRPr="006B089C">
        <w:rPr>
          <w:rFonts w:hAnsi="ＭＳ 明朝" w:hint="eastAsia"/>
          <w:szCs w:val="24"/>
        </w:rPr>
        <w:t>369,943</w:t>
      </w:r>
      <w:r w:rsidR="00986458" w:rsidRPr="006B089C">
        <w:rPr>
          <w:rFonts w:hAnsi="ＭＳ 明朝" w:hint="eastAsia"/>
          <w:szCs w:val="24"/>
        </w:rPr>
        <w:t>千円で</w:t>
      </w:r>
      <w:r w:rsidRPr="006B089C">
        <w:rPr>
          <w:rFonts w:hAnsi="ＭＳ 明朝" w:hint="eastAsia"/>
          <w:szCs w:val="24"/>
        </w:rPr>
        <w:t>、</w:t>
      </w:r>
      <w:r w:rsidR="00DE4E14" w:rsidRPr="006B089C">
        <w:rPr>
          <w:rFonts w:hAnsi="ＭＳ 明朝" w:hint="eastAsia"/>
          <w:szCs w:val="24"/>
        </w:rPr>
        <w:t>前年度に比べ</w:t>
      </w:r>
      <w:r w:rsidR="00C579DD" w:rsidRPr="006B089C">
        <w:rPr>
          <w:rFonts w:hAnsi="ＭＳ 明朝" w:hint="eastAsia"/>
          <w:szCs w:val="24"/>
        </w:rPr>
        <w:t>13,013</w:t>
      </w:r>
      <w:r w:rsidR="00DE4E14" w:rsidRPr="006B089C">
        <w:rPr>
          <w:rFonts w:hAnsi="ＭＳ 明朝" w:hint="eastAsia"/>
          <w:szCs w:val="24"/>
        </w:rPr>
        <w:t>千円(3.6％</w:t>
      </w:r>
      <w:r w:rsidR="00DE4E14" w:rsidRPr="006B089C">
        <w:rPr>
          <w:rFonts w:hAnsi="ＭＳ 明朝"/>
          <w:szCs w:val="24"/>
        </w:rPr>
        <w:t>）</w:t>
      </w:r>
      <w:r w:rsidR="00DE4E14" w:rsidRPr="006B089C">
        <w:rPr>
          <w:rFonts w:hAnsi="ＭＳ 明朝" w:hint="eastAsia"/>
          <w:szCs w:val="24"/>
        </w:rPr>
        <w:t>増加している。これは、</w:t>
      </w:r>
      <w:r w:rsidR="00986458" w:rsidRPr="006B089C">
        <w:rPr>
          <w:rFonts w:hAnsi="ＭＳ 明朝" w:hint="eastAsia"/>
          <w:szCs w:val="24"/>
        </w:rPr>
        <w:t>前年度に引き続き軽四輪乗用自家用車</w:t>
      </w:r>
      <w:r w:rsidRPr="006B089C">
        <w:rPr>
          <w:rFonts w:hAnsi="ＭＳ 明朝" w:hint="eastAsia"/>
          <w:szCs w:val="24"/>
        </w:rPr>
        <w:t>の課税台数</w:t>
      </w:r>
      <w:r w:rsidR="00DE4E14" w:rsidRPr="006B089C">
        <w:rPr>
          <w:rFonts w:hAnsi="ＭＳ 明朝" w:hint="eastAsia"/>
          <w:szCs w:val="24"/>
        </w:rPr>
        <w:t>が増加したことによるものである。</w:t>
      </w:r>
    </w:p>
    <w:p w:rsidR="00F04AE3" w:rsidRDefault="0003487F" w:rsidP="00F04AE3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487836">
        <w:rPr>
          <w:rFonts w:hAnsi="ＭＳ 明朝" w:hint="eastAsia"/>
          <w:szCs w:val="24"/>
        </w:rPr>
        <w:t>市たばこ税は</w:t>
      </w:r>
      <w:r>
        <w:rPr>
          <w:rFonts w:hAnsi="ＭＳ 明朝" w:hint="eastAsia"/>
          <w:szCs w:val="24"/>
        </w:rPr>
        <w:t>、</w:t>
      </w:r>
      <w:r w:rsidR="00F04AE3">
        <w:rPr>
          <w:rFonts w:hAnsi="ＭＳ 明朝" w:hint="eastAsia"/>
          <w:szCs w:val="24"/>
        </w:rPr>
        <w:t>1,353,804</w:t>
      </w:r>
      <w:r>
        <w:rPr>
          <w:rFonts w:hAnsi="ＭＳ 明朝" w:hint="eastAsia"/>
          <w:szCs w:val="24"/>
        </w:rPr>
        <w:t>千円で</w:t>
      </w:r>
      <w:r w:rsidR="00F04AE3" w:rsidRPr="00B87C4E">
        <w:rPr>
          <w:rFonts w:hAnsi="ＭＳ 明朝" w:hint="eastAsia"/>
          <w:szCs w:val="24"/>
        </w:rPr>
        <w:t>前年度に比べ</w:t>
      </w:r>
      <w:r w:rsidR="00F04AE3">
        <w:rPr>
          <w:rFonts w:hAnsi="ＭＳ 明朝" w:hint="eastAsia"/>
          <w:szCs w:val="24"/>
        </w:rPr>
        <w:t>55,976</w:t>
      </w:r>
      <w:r w:rsidR="00F04AE3" w:rsidRPr="00B87C4E">
        <w:rPr>
          <w:rFonts w:hAnsi="ＭＳ 明朝" w:hint="eastAsia"/>
          <w:szCs w:val="24"/>
        </w:rPr>
        <w:t>千円(</w:t>
      </w:r>
      <w:r w:rsidR="00F04AE3">
        <w:rPr>
          <w:rFonts w:hAnsi="ＭＳ 明朝" w:hint="eastAsia"/>
          <w:szCs w:val="24"/>
        </w:rPr>
        <w:t>△4.0</w:t>
      </w:r>
      <w:r w:rsidR="00F04AE3" w:rsidRPr="00B87C4E">
        <w:rPr>
          <w:rFonts w:hAnsi="ＭＳ 明朝" w:hint="eastAsia"/>
          <w:szCs w:val="24"/>
        </w:rPr>
        <w:t>％</w:t>
      </w:r>
      <w:r w:rsidR="00F04AE3">
        <w:rPr>
          <w:rFonts w:hAnsi="ＭＳ 明朝" w:hint="eastAsia"/>
          <w:szCs w:val="24"/>
        </w:rPr>
        <w:t>)減少</w:t>
      </w:r>
      <w:r w:rsidR="00F04AE3" w:rsidRPr="00B87C4E">
        <w:rPr>
          <w:rFonts w:hAnsi="ＭＳ 明朝" w:hint="eastAsia"/>
          <w:szCs w:val="24"/>
        </w:rPr>
        <w:t>して</w:t>
      </w:r>
    </w:p>
    <w:p w:rsidR="00986458" w:rsidRPr="00B87C4E" w:rsidRDefault="00F04AE3" w:rsidP="00F04AE3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B87C4E">
        <w:rPr>
          <w:rFonts w:hAnsi="ＭＳ 明朝" w:hint="eastAsia"/>
          <w:szCs w:val="24"/>
        </w:rPr>
        <w:t>いる。</w:t>
      </w:r>
      <w:r>
        <w:rPr>
          <w:rFonts w:hAnsi="ＭＳ 明朝" w:hint="eastAsia"/>
          <w:szCs w:val="24"/>
        </w:rPr>
        <w:t>これは、</w:t>
      </w:r>
      <w:r w:rsidR="00DB0DA3">
        <w:rPr>
          <w:rFonts w:hAnsi="ＭＳ 明朝" w:hint="eastAsia"/>
          <w:szCs w:val="24"/>
        </w:rPr>
        <w:t>売り渡し本数が減少した</w:t>
      </w:r>
      <w:r>
        <w:rPr>
          <w:rFonts w:hAnsi="ＭＳ 明朝" w:hint="eastAsia"/>
          <w:szCs w:val="24"/>
        </w:rPr>
        <w:t>ことによるものである。</w:t>
      </w:r>
    </w:p>
    <w:p w:rsidR="004E3054" w:rsidRPr="009E43C9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C579DD" w:rsidRPr="009E43C9">
        <w:rPr>
          <w:rFonts w:hAnsi="ＭＳ 明朝" w:hint="eastAsia"/>
          <w:szCs w:val="24"/>
        </w:rPr>
        <w:t>1,356,18</w:t>
      </w:r>
      <w:r w:rsidR="00101E7D" w:rsidRPr="009E43C9">
        <w:rPr>
          <w:rFonts w:hAnsi="ＭＳ 明朝" w:hint="eastAsia"/>
          <w:szCs w:val="24"/>
        </w:rPr>
        <w:t>8</w:t>
      </w:r>
      <w:r w:rsidRPr="009E43C9">
        <w:rPr>
          <w:rFonts w:hAnsi="ＭＳ 明朝" w:hint="eastAsia"/>
          <w:szCs w:val="24"/>
        </w:rPr>
        <w:t>千円で、前年度に比べ</w:t>
      </w:r>
      <w:r w:rsidR="00C579DD" w:rsidRPr="009E43C9">
        <w:rPr>
          <w:rFonts w:hAnsi="ＭＳ 明朝" w:hint="eastAsia"/>
          <w:szCs w:val="24"/>
        </w:rPr>
        <w:t>88,31</w:t>
      </w:r>
      <w:r w:rsidR="00101E7D" w:rsidRPr="009E43C9">
        <w:rPr>
          <w:rFonts w:hAnsi="ＭＳ 明朝" w:hint="eastAsia"/>
          <w:szCs w:val="24"/>
        </w:rPr>
        <w:t>7</w:t>
      </w:r>
      <w:r w:rsidR="004E3054" w:rsidRPr="009E43C9">
        <w:rPr>
          <w:rFonts w:hAnsi="ＭＳ 明朝" w:hint="eastAsia"/>
          <w:szCs w:val="24"/>
        </w:rPr>
        <w:t>千円(</w:t>
      </w:r>
      <w:r w:rsidR="00C0188E" w:rsidRPr="009E43C9">
        <w:rPr>
          <w:rFonts w:hAnsi="ＭＳ 明朝" w:hint="eastAsia"/>
          <w:szCs w:val="24"/>
        </w:rPr>
        <w:t>△</w:t>
      </w:r>
      <w:r w:rsidR="00DE4E14" w:rsidRPr="009E43C9">
        <w:rPr>
          <w:rFonts w:hAnsi="ＭＳ 明朝" w:hint="eastAsia"/>
          <w:szCs w:val="24"/>
        </w:rPr>
        <w:t>6.1</w:t>
      </w:r>
      <w:r w:rsidR="004E3054" w:rsidRPr="009E43C9">
        <w:rPr>
          <w:rFonts w:hAnsi="ＭＳ 明朝" w:hint="eastAsia"/>
          <w:szCs w:val="24"/>
        </w:rPr>
        <w:t>％</w:t>
      </w:r>
      <w:r w:rsidR="004E3054" w:rsidRPr="009E43C9">
        <w:rPr>
          <w:rFonts w:hAnsi="ＭＳ 明朝"/>
          <w:szCs w:val="24"/>
        </w:rPr>
        <w:t>）</w:t>
      </w:r>
      <w:r w:rsidRPr="009E43C9">
        <w:rPr>
          <w:rFonts w:hAnsi="ＭＳ 明朝" w:hint="eastAsia"/>
          <w:szCs w:val="24"/>
        </w:rPr>
        <w:t>減少して</w:t>
      </w:r>
    </w:p>
    <w:p w:rsidR="004E3054" w:rsidRPr="009E43C9" w:rsidRDefault="00986458" w:rsidP="00496D6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いる。このうち現年課税分は</w:t>
      </w:r>
      <w:r w:rsidR="00C579DD" w:rsidRPr="009E43C9">
        <w:rPr>
          <w:rFonts w:hAnsi="ＭＳ 明朝" w:hint="eastAsia"/>
          <w:szCs w:val="24"/>
        </w:rPr>
        <w:t>337,52</w:t>
      </w:r>
      <w:r w:rsidR="006B089C" w:rsidRPr="009E43C9">
        <w:rPr>
          <w:rFonts w:hAnsi="ＭＳ 明朝" w:hint="eastAsia"/>
          <w:szCs w:val="24"/>
        </w:rPr>
        <w:t>1</w:t>
      </w:r>
      <w:r w:rsidRPr="009E43C9">
        <w:rPr>
          <w:rFonts w:hAnsi="ＭＳ 明朝" w:hint="eastAsia"/>
          <w:szCs w:val="24"/>
        </w:rPr>
        <w:t>千円で</w:t>
      </w:r>
      <w:r w:rsidR="004E3054" w:rsidRPr="009E43C9">
        <w:rPr>
          <w:rFonts w:hAnsi="ＭＳ 明朝" w:hint="eastAsia"/>
          <w:szCs w:val="24"/>
        </w:rPr>
        <w:t>、</w:t>
      </w:r>
      <w:r w:rsidRPr="009E43C9">
        <w:rPr>
          <w:rFonts w:hAnsi="ＭＳ 明朝" w:hint="eastAsia"/>
          <w:szCs w:val="24"/>
        </w:rPr>
        <w:t>前年度に比べ</w:t>
      </w:r>
      <w:r w:rsidR="00C579DD" w:rsidRPr="009E43C9">
        <w:rPr>
          <w:rFonts w:hAnsi="ＭＳ 明朝" w:hint="eastAsia"/>
          <w:szCs w:val="24"/>
        </w:rPr>
        <w:t>22,197</w:t>
      </w:r>
      <w:r w:rsidRPr="009E43C9">
        <w:rPr>
          <w:rFonts w:hAnsi="ＭＳ 明朝" w:hint="eastAsia"/>
          <w:szCs w:val="24"/>
        </w:rPr>
        <w:t>千円(</w:t>
      </w:r>
      <w:r w:rsidR="00305C20" w:rsidRPr="009E43C9">
        <w:rPr>
          <w:rFonts w:hAnsi="ＭＳ 明朝" w:hint="eastAsia"/>
          <w:szCs w:val="24"/>
        </w:rPr>
        <w:t>△</w:t>
      </w:r>
      <w:r w:rsidR="00DE4E14" w:rsidRPr="009E43C9">
        <w:rPr>
          <w:rFonts w:hAnsi="ＭＳ 明朝" w:hint="eastAsia"/>
          <w:szCs w:val="24"/>
        </w:rPr>
        <w:t>6.2</w:t>
      </w:r>
      <w:r w:rsidRPr="009E43C9">
        <w:rPr>
          <w:rFonts w:hAnsi="ＭＳ 明朝" w:hint="eastAsia"/>
          <w:szCs w:val="24"/>
        </w:rPr>
        <w:t xml:space="preserve">％) </w:t>
      </w:r>
    </w:p>
    <w:p w:rsidR="00986458" w:rsidRPr="00305C20" w:rsidRDefault="00305C20" w:rsidP="004E305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減少</w:t>
      </w:r>
      <w:r w:rsidR="00986458" w:rsidRPr="009E43C9">
        <w:rPr>
          <w:rFonts w:hAnsi="ＭＳ 明朝" w:hint="eastAsia"/>
          <w:szCs w:val="24"/>
        </w:rPr>
        <w:t>し、滞納繰越分は</w:t>
      </w:r>
      <w:r w:rsidR="00DE4E14" w:rsidRPr="009E43C9">
        <w:rPr>
          <w:rFonts w:hAnsi="ＭＳ 明朝" w:hint="eastAsia"/>
          <w:szCs w:val="24"/>
        </w:rPr>
        <w:t>1,018,667</w:t>
      </w:r>
      <w:r w:rsidR="00986458" w:rsidRPr="009E43C9">
        <w:rPr>
          <w:rFonts w:hAnsi="ＭＳ 明朝" w:hint="eastAsia"/>
          <w:szCs w:val="24"/>
        </w:rPr>
        <w:t>千円で前年度に比べ</w:t>
      </w:r>
      <w:r w:rsidR="00C579DD" w:rsidRPr="009E43C9">
        <w:rPr>
          <w:rFonts w:hAnsi="ＭＳ 明朝" w:hint="eastAsia"/>
          <w:szCs w:val="24"/>
        </w:rPr>
        <w:t>66,12</w:t>
      </w:r>
      <w:r w:rsidR="006B089C" w:rsidRPr="009E43C9">
        <w:rPr>
          <w:rFonts w:hAnsi="ＭＳ 明朝" w:hint="eastAsia"/>
          <w:szCs w:val="24"/>
        </w:rPr>
        <w:t>0</w:t>
      </w:r>
      <w:r w:rsidR="00986458" w:rsidRPr="009E43C9">
        <w:rPr>
          <w:rFonts w:hAnsi="ＭＳ 明朝" w:hint="eastAsia"/>
          <w:szCs w:val="24"/>
        </w:rPr>
        <w:t>千</w:t>
      </w:r>
      <w:r w:rsidR="00986458" w:rsidRPr="00305C20">
        <w:rPr>
          <w:rFonts w:hAnsi="ＭＳ 明朝" w:hint="eastAsia"/>
          <w:szCs w:val="24"/>
        </w:rPr>
        <w:t>円（△</w:t>
      </w:r>
      <w:r w:rsidR="00DE4E14">
        <w:rPr>
          <w:rFonts w:hAnsi="ＭＳ 明朝" w:hint="eastAsia"/>
          <w:szCs w:val="24"/>
        </w:rPr>
        <w:t>6.1</w:t>
      </w:r>
      <w:r w:rsidR="00986458" w:rsidRPr="00305C20">
        <w:rPr>
          <w:rFonts w:hAnsi="ＭＳ 明朝" w:hint="eastAsia"/>
          <w:szCs w:val="24"/>
        </w:rPr>
        <w:t>％）減少している。</w:t>
      </w:r>
    </w:p>
    <w:p w:rsidR="00986458" w:rsidRPr="006B089C" w:rsidRDefault="00986458" w:rsidP="0098645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これを税別でみると前年度に比べ市民税で</w:t>
      </w:r>
      <w:r w:rsidR="00A72206" w:rsidRPr="006B089C">
        <w:rPr>
          <w:rFonts w:hAnsi="ＭＳ 明朝" w:hint="eastAsia"/>
          <w:szCs w:val="24"/>
        </w:rPr>
        <w:t>58,991</w:t>
      </w:r>
      <w:r w:rsidR="009F2D60" w:rsidRPr="006B089C">
        <w:rPr>
          <w:rFonts w:hAnsi="ＭＳ 明朝" w:hint="eastAsia"/>
          <w:szCs w:val="24"/>
        </w:rPr>
        <w:t>千円(</w:t>
      </w:r>
      <w:r w:rsidRPr="006B089C">
        <w:rPr>
          <w:rFonts w:hAnsi="ＭＳ 明朝" w:hint="eastAsia"/>
          <w:szCs w:val="24"/>
        </w:rPr>
        <w:t>△</w:t>
      </w:r>
      <w:r w:rsidR="00A72206" w:rsidRPr="006B089C">
        <w:rPr>
          <w:rFonts w:hAnsi="ＭＳ 明朝" w:hint="eastAsia"/>
          <w:szCs w:val="24"/>
        </w:rPr>
        <w:t>9.5</w:t>
      </w:r>
      <w:r w:rsidR="009F2D60" w:rsidRPr="006B089C">
        <w:rPr>
          <w:rFonts w:hAnsi="ＭＳ 明朝" w:hint="eastAsia"/>
          <w:szCs w:val="24"/>
        </w:rPr>
        <w:t>％)</w:t>
      </w:r>
      <w:r w:rsidRPr="006B089C">
        <w:rPr>
          <w:rFonts w:hAnsi="ＭＳ 明朝" w:hint="eastAsia"/>
          <w:szCs w:val="24"/>
        </w:rPr>
        <w:t>、固定資産税で</w:t>
      </w:r>
      <w:r w:rsidR="00C579DD" w:rsidRPr="006B089C">
        <w:rPr>
          <w:rFonts w:hAnsi="ＭＳ 明朝" w:hint="eastAsia"/>
          <w:szCs w:val="24"/>
        </w:rPr>
        <w:t>28,243</w:t>
      </w:r>
      <w:r w:rsidR="009F2D60" w:rsidRPr="006B089C">
        <w:rPr>
          <w:rFonts w:hAnsi="ＭＳ 明朝" w:hint="eastAsia"/>
          <w:szCs w:val="24"/>
        </w:rPr>
        <w:t>千円(</w:t>
      </w:r>
      <w:r w:rsidRPr="006B089C">
        <w:rPr>
          <w:rFonts w:hAnsi="ＭＳ 明朝" w:hint="eastAsia"/>
          <w:szCs w:val="24"/>
        </w:rPr>
        <w:t>△</w:t>
      </w:r>
      <w:r w:rsidR="00A72206" w:rsidRPr="006B089C">
        <w:rPr>
          <w:rFonts w:hAnsi="ＭＳ 明朝" w:hint="eastAsia"/>
          <w:szCs w:val="24"/>
        </w:rPr>
        <w:t>3.5</w:t>
      </w:r>
      <w:r w:rsidR="009F2D60" w:rsidRPr="006B089C">
        <w:rPr>
          <w:rFonts w:hAnsi="ＭＳ 明朝" w:hint="eastAsia"/>
          <w:szCs w:val="24"/>
        </w:rPr>
        <w:t>％)</w:t>
      </w:r>
      <w:r w:rsidRPr="006B089C">
        <w:rPr>
          <w:rFonts w:hAnsi="ＭＳ 明朝" w:hint="eastAsia"/>
          <w:szCs w:val="24"/>
        </w:rPr>
        <w:t>、軽自動車税で</w:t>
      </w:r>
      <w:r w:rsidR="00A72206" w:rsidRPr="006B089C">
        <w:rPr>
          <w:rFonts w:hAnsi="ＭＳ 明朝" w:hint="eastAsia"/>
          <w:szCs w:val="24"/>
        </w:rPr>
        <w:t>1,083</w:t>
      </w:r>
      <w:r w:rsidR="009F2D60" w:rsidRPr="006B089C">
        <w:rPr>
          <w:rFonts w:hAnsi="ＭＳ 明朝" w:hint="eastAsia"/>
          <w:szCs w:val="24"/>
        </w:rPr>
        <w:t>千円(</w:t>
      </w:r>
      <w:r w:rsidRPr="006B089C">
        <w:rPr>
          <w:rFonts w:hAnsi="ＭＳ 明朝" w:hint="eastAsia"/>
          <w:szCs w:val="24"/>
        </w:rPr>
        <w:t>△</w:t>
      </w:r>
      <w:r w:rsidR="00A72206" w:rsidRPr="006B089C">
        <w:rPr>
          <w:rFonts w:hAnsi="ＭＳ 明朝" w:hint="eastAsia"/>
          <w:szCs w:val="24"/>
        </w:rPr>
        <w:t>4.9</w:t>
      </w:r>
      <w:r w:rsidR="009F2D60" w:rsidRPr="006B089C">
        <w:rPr>
          <w:rFonts w:hAnsi="ＭＳ 明朝" w:hint="eastAsia"/>
          <w:szCs w:val="24"/>
        </w:rPr>
        <w:t>％)</w:t>
      </w:r>
      <w:r w:rsidRPr="006B089C">
        <w:rPr>
          <w:rFonts w:hAnsi="ＭＳ 明朝" w:hint="eastAsia"/>
          <w:szCs w:val="24"/>
        </w:rPr>
        <w:t>とそれぞれ減少している。</w:t>
      </w:r>
    </w:p>
    <w:p w:rsidR="00986458" w:rsidRPr="006B089C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不納欠損額は</w:t>
      </w:r>
      <w:r w:rsidR="00225EED" w:rsidRPr="006B089C">
        <w:rPr>
          <w:rFonts w:hAnsi="ＭＳ 明朝" w:hint="eastAsia"/>
          <w:szCs w:val="24"/>
        </w:rPr>
        <w:t>194,219</w:t>
      </w:r>
      <w:r w:rsidRPr="006B089C">
        <w:rPr>
          <w:rFonts w:hAnsi="ＭＳ 明朝" w:hint="eastAsia"/>
          <w:szCs w:val="24"/>
        </w:rPr>
        <w:t>千円で、前年度に比べ</w:t>
      </w:r>
      <w:r w:rsidR="00225EED" w:rsidRPr="006B089C">
        <w:rPr>
          <w:rFonts w:hAnsi="ＭＳ 明朝" w:hint="eastAsia"/>
          <w:szCs w:val="24"/>
        </w:rPr>
        <w:t>44,520</w:t>
      </w:r>
      <w:r w:rsidRPr="006B089C">
        <w:rPr>
          <w:rFonts w:hAnsi="ＭＳ 明朝" w:hint="eastAsia"/>
          <w:szCs w:val="24"/>
        </w:rPr>
        <w:t>千円（△</w:t>
      </w:r>
      <w:r w:rsidR="00225EED" w:rsidRPr="006B089C">
        <w:rPr>
          <w:rFonts w:hAnsi="ＭＳ 明朝" w:hint="eastAsia"/>
          <w:szCs w:val="24"/>
        </w:rPr>
        <w:t>18.6</w:t>
      </w:r>
      <w:r w:rsidRPr="006B089C">
        <w:rPr>
          <w:rFonts w:hAnsi="ＭＳ 明朝" w:hint="eastAsia"/>
          <w:szCs w:val="24"/>
        </w:rPr>
        <w:t>％）減少している。</w:t>
      </w:r>
    </w:p>
    <w:p w:rsidR="00296E3F" w:rsidRPr="006B089C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不納欠損額の内訳は地方税法第18条の規定(消滅時効５年間）による消滅分</w:t>
      </w:r>
    </w:p>
    <w:p w:rsidR="00296E3F" w:rsidRPr="006B089C" w:rsidRDefault="00225EED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124,970</w:t>
      </w:r>
      <w:r w:rsidR="00986458" w:rsidRPr="006B089C">
        <w:rPr>
          <w:rFonts w:hAnsi="ＭＳ 明朝" w:hint="eastAsia"/>
          <w:szCs w:val="24"/>
        </w:rPr>
        <w:t>千円、地方税法第15条の7第4項の規定(滞納処分の執行停止が３年間継続</w:t>
      </w:r>
    </w:p>
    <w:p w:rsidR="00296E3F" w:rsidRPr="006B089C" w:rsidRDefault="00986458" w:rsidP="00296E3F">
      <w:pPr>
        <w:spacing w:line="240" w:lineRule="auto"/>
        <w:ind w:leftChars="300" w:left="720"/>
        <w:rPr>
          <w:rFonts w:hAnsi="ＭＳ 明朝"/>
          <w:szCs w:val="24"/>
        </w:rPr>
      </w:pPr>
      <w:r w:rsidRPr="006B089C">
        <w:rPr>
          <w:rFonts w:hAnsi="ＭＳ 明朝" w:hint="eastAsia"/>
          <w:spacing w:val="7"/>
          <w:w w:val="91"/>
          <w:szCs w:val="24"/>
          <w:fitText w:val="8880" w:id="667689474"/>
        </w:rPr>
        <w:t>したことによる納付・納入義務消滅)による消滅分</w:t>
      </w:r>
      <w:r w:rsidR="00225EED" w:rsidRPr="006B089C">
        <w:rPr>
          <w:rFonts w:hAnsi="ＭＳ 明朝" w:hint="eastAsia"/>
          <w:spacing w:val="7"/>
          <w:w w:val="91"/>
          <w:szCs w:val="24"/>
          <w:fitText w:val="8880" w:id="667689474"/>
        </w:rPr>
        <w:t xml:space="preserve"> 20,431</w:t>
      </w:r>
      <w:r w:rsidRPr="006B089C">
        <w:rPr>
          <w:rFonts w:hAnsi="ＭＳ 明朝" w:hint="eastAsia"/>
          <w:spacing w:val="7"/>
          <w:w w:val="91"/>
          <w:szCs w:val="24"/>
          <w:fitText w:val="8880" w:id="667689474"/>
        </w:rPr>
        <w:t>千円及び地方税法第15条の</w:t>
      </w:r>
      <w:r w:rsidR="007719F5" w:rsidRPr="006B089C">
        <w:rPr>
          <w:rFonts w:hAnsi="ＭＳ 明朝" w:hint="eastAsia"/>
          <w:spacing w:val="-32"/>
          <w:w w:val="91"/>
          <w:szCs w:val="24"/>
          <w:fitText w:val="8880" w:id="667689474"/>
        </w:rPr>
        <w:t>7</w:t>
      </w:r>
    </w:p>
    <w:p w:rsidR="007719F5" w:rsidRPr="006B089C" w:rsidRDefault="00986458" w:rsidP="00296E3F">
      <w:pPr>
        <w:spacing w:line="240" w:lineRule="auto"/>
        <w:ind w:leftChars="300" w:left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第5項の規定（即時消滅）による消滅分</w:t>
      </w:r>
      <w:r w:rsidR="00225EED" w:rsidRPr="006B089C">
        <w:rPr>
          <w:rFonts w:hAnsi="ＭＳ 明朝" w:hint="eastAsia"/>
          <w:szCs w:val="24"/>
        </w:rPr>
        <w:t>48,818</w:t>
      </w:r>
      <w:r w:rsidRPr="006B089C">
        <w:rPr>
          <w:rFonts w:hAnsi="ＭＳ 明朝" w:hint="eastAsia"/>
          <w:szCs w:val="24"/>
        </w:rPr>
        <w:t>千円であった。</w:t>
      </w:r>
    </w:p>
    <w:p w:rsidR="00986458" w:rsidRPr="006B089C" w:rsidRDefault="001F0CC2" w:rsidP="001F0CC2">
      <w:pPr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1F0CC2">
        <w:rPr>
          <w:rFonts w:hAnsi="ＭＳ 明朝" w:hint="eastAsia"/>
          <w:spacing w:val="4"/>
          <w:w w:val="97"/>
          <w:szCs w:val="24"/>
          <w:fitText w:val="8640" w:id="667689728"/>
        </w:rPr>
        <w:t>不納欠損の理由は無財産、生活困窮及び行方不明等</w:t>
      </w:r>
      <w:r w:rsidR="00986458" w:rsidRPr="001F0CC2">
        <w:rPr>
          <w:rFonts w:hAnsi="ＭＳ 明朝" w:hint="eastAsia"/>
          <w:spacing w:val="4"/>
          <w:w w:val="97"/>
          <w:szCs w:val="24"/>
          <w:fitText w:val="8640" w:id="667689728"/>
        </w:rPr>
        <w:t>であり、この処分について</w:t>
      </w:r>
      <w:r w:rsidR="00986458" w:rsidRPr="001F0CC2">
        <w:rPr>
          <w:rFonts w:hAnsi="ＭＳ 明朝" w:hint="eastAsia"/>
          <w:spacing w:val="-4"/>
          <w:w w:val="97"/>
          <w:szCs w:val="24"/>
          <w:fitText w:val="8640" w:id="667689728"/>
        </w:rPr>
        <w:t>は</w:t>
      </w:r>
      <w:r w:rsidR="00986458" w:rsidRPr="006B089C">
        <w:rPr>
          <w:rFonts w:hAnsi="ＭＳ 明朝" w:hint="eastAsia"/>
          <w:szCs w:val="24"/>
        </w:rPr>
        <w:t>やむを得ない措置と認められた。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D21795" w:rsidRPr="00C63ED3" w:rsidRDefault="00D21795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D7043C" w:rsidRP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bookmarkStart w:id="4" w:name="_MON_1438759766"/>
    <w:bookmarkEnd w:id="4"/>
    <w:p w:rsidR="007D5C91" w:rsidRDefault="009E43C9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28" type="#_x0000_t75" style="width:481.35pt;height:317.95pt" o:ole="">
            <v:imagedata r:id="rId15" o:title=""/>
          </v:shape>
          <o:OLEObject Type="Embed" ProgID="Excel.Sheet.12" ShapeID="_x0000_i1028" DrawAspect="Content" ObjectID="_1509179452" r:id="rId16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bookmarkStart w:id="5" w:name="_MON_1438768279"/>
    <w:bookmarkEnd w:id="5"/>
    <w:p w:rsidR="007D5C91" w:rsidRDefault="009E43C9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29" type="#_x0000_t75" style="width:480.55pt;height:3in" o:ole="">
            <v:imagedata r:id="rId17" o:title=""/>
          </v:shape>
          <o:OLEObject Type="Embed" ProgID="Excel.Sheet.12" ShapeID="_x0000_i1029" DrawAspect="Content" ObjectID="_1509179453" r:id="rId18"/>
        </w:object>
      </w:r>
      <w:r w:rsidR="001E7CE8" w:rsidRPr="00F0160F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B93D5A" w:rsidRDefault="00B93D5A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9E43C9">
        <w:rPr>
          <w:rFonts w:hAnsi="ＭＳ 明朝" w:hint="eastAsia"/>
          <w:szCs w:val="24"/>
        </w:rPr>
        <w:t xml:space="preserve">　　</w:t>
      </w:r>
      <w:r w:rsidR="001E7CE8">
        <w:rPr>
          <w:rFonts w:hAnsi="ＭＳ 明朝" w:hint="eastAsia"/>
          <w:szCs w:val="24"/>
        </w:rPr>
        <w:t>（単位：千円・％）</w:t>
      </w:r>
    </w:p>
    <w:bookmarkStart w:id="6" w:name="_MON_1438769903"/>
    <w:bookmarkEnd w:id="6"/>
    <w:p w:rsidR="007D5C91" w:rsidRDefault="009E43C9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30" type="#_x0000_t75" style="width:482.95pt;height:347.85pt" o:ole="">
            <v:imagedata r:id="rId19" o:title=""/>
          </v:shape>
          <o:OLEObject Type="Embed" ProgID="Excel.Sheet.12" ShapeID="_x0000_i1030" DrawAspect="Content" ObjectID="_1509179454" r:id="rId20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　 </w:t>
      </w:r>
      <w:r w:rsidR="002959FA">
        <w:rPr>
          <w:rFonts w:hAnsi="ＭＳ 明朝" w:hint="eastAsia"/>
          <w:szCs w:val="24"/>
        </w:rPr>
        <w:t>（単位：千円・％）</w:t>
      </w:r>
    </w:p>
    <w:bookmarkStart w:id="7" w:name="_MON_1438771912"/>
    <w:bookmarkEnd w:id="7"/>
    <w:p w:rsidR="002959FA" w:rsidRDefault="00430062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213" w:dyaOrig="4084">
          <v:shape id="_x0000_i1031" type="#_x0000_t75" style="width:487pt;height:204.65pt" o:ole="">
            <v:imagedata r:id="rId21" o:title=""/>
          </v:shape>
          <o:OLEObject Type="Embed" ProgID="Excel.Sheet.12" ShapeID="_x0000_i1031" DrawAspect="Content" ObjectID="_1509179455" r:id="rId22"/>
        </w:object>
      </w:r>
    </w:p>
    <w:p w:rsidR="002959FA" w:rsidRDefault="002959FA" w:rsidP="00986458">
      <w:pPr>
        <w:spacing w:line="240" w:lineRule="auto"/>
        <w:rPr>
          <w:rFonts w:hAnsi="ＭＳ 明朝"/>
          <w:szCs w:val="24"/>
        </w:rPr>
      </w:pPr>
    </w:p>
    <w:p w:rsidR="00727CA6" w:rsidRDefault="00727CA6" w:rsidP="00986458">
      <w:pPr>
        <w:spacing w:line="240" w:lineRule="auto"/>
        <w:rPr>
          <w:rFonts w:hAnsi="ＭＳ 明朝"/>
          <w:szCs w:val="24"/>
        </w:rPr>
      </w:pPr>
    </w:p>
    <w:p w:rsidR="009136B9" w:rsidRPr="009136B9" w:rsidRDefault="009136B9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136B9">
        <w:rPr>
          <w:rFonts w:ascii="ＭＳ ゴシック" w:eastAsia="ＭＳ ゴシック" w:hAnsi="ＭＳ ゴシック" w:hint="eastAsia"/>
          <w:szCs w:val="24"/>
        </w:rPr>
        <w:t xml:space="preserve">⑶　</w:t>
      </w:r>
      <w:r w:rsidRPr="009136B9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2574A7" w:rsidRDefault="009136B9" w:rsidP="002574A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5A65E2">
        <w:rPr>
          <w:rFonts w:hAnsi="ＭＳ 明朝" w:hint="eastAsia"/>
          <w:szCs w:val="24"/>
        </w:rPr>
        <w:t>16,542,700</w:t>
      </w:r>
      <w:r w:rsidRPr="0077289F">
        <w:rPr>
          <w:rFonts w:hAnsi="ＭＳ 明朝" w:hint="eastAsia"/>
          <w:szCs w:val="24"/>
        </w:rPr>
        <w:t>千円で、前年度に比べ</w:t>
      </w:r>
      <w:r w:rsidR="005A65E2">
        <w:rPr>
          <w:rFonts w:hAnsi="ＭＳ 明朝" w:hint="eastAsia"/>
          <w:szCs w:val="24"/>
        </w:rPr>
        <w:t>2,913,100</w:t>
      </w:r>
      <w:r w:rsidRPr="0077289F">
        <w:rPr>
          <w:rFonts w:hAnsi="ＭＳ 明朝" w:hint="eastAsia"/>
          <w:szCs w:val="24"/>
        </w:rPr>
        <w:t>千円</w:t>
      </w:r>
      <w:r w:rsidR="005A65E2">
        <w:rPr>
          <w:rFonts w:hAnsi="ＭＳ 明朝" w:hint="eastAsia"/>
          <w:szCs w:val="24"/>
        </w:rPr>
        <w:t>(21.4</w:t>
      </w:r>
      <w:r w:rsidRPr="0077289F">
        <w:rPr>
          <w:rFonts w:hAnsi="ＭＳ 明朝" w:hint="eastAsia"/>
          <w:szCs w:val="24"/>
        </w:rPr>
        <w:t>％)増加している。歳入に占める割合は</w:t>
      </w:r>
      <w:r w:rsidR="005A65E2">
        <w:rPr>
          <w:rFonts w:hAnsi="ＭＳ 明朝" w:hint="eastAsia"/>
          <w:szCs w:val="24"/>
        </w:rPr>
        <w:t>19.6</w:t>
      </w:r>
      <w:r w:rsidRPr="0077289F">
        <w:rPr>
          <w:rFonts w:hAnsi="ＭＳ 明朝" w:hint="eastAsia"/>
          <w:szCs w:val="24"/>
        </w:rPr>
        <w:t>％で前年度より</w:t>
      </w:r>
      <w:r w:rsidR="005A65E2">
        <w:rPr>
          <w:rFonts w:hAnsi="ＭＳ 明朝" w:hint="eastAsia"/>
          <w:szCs w:val="24"/>
        </w:rPr>
        <w:t>3.3</w:t>
      </w:r>
      <w:r w:rsidRPr="0077289F">
        <w:rPr>
          <w:rFonts w:hAnsi="ＭＳ 明朝" w:hint="eastAsia"/>
          <w:szCs w:val="24"/>
        </w:rPr>
        <w:t>ポイント上昇</w:t>
      </w:r>
    </w:p>
    <w:p w:rsidR="009136B9" w:rsidRDefault="009136B9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している。</w:t>
      </w:r>
    </w:p>
    <w:p w:rsidR="009136B9" w:rsidRPr="00F45180" w:rsidRDefault="00874110" w:rsidP="000D4FF8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>
        <w:rPr>
          <w:rFonts w:hAnsi="ＭＳ 明朝" w:hint="eastAsia"/>
          <w:w w:val="92"/>
          <w:szCs w:val="24"/>
        </w:rPr>
        <w:t xml:space="preserve">　これは</w:t>
      </w:r>
      <w:r w:rsidR="00295296" w:rsidRPr="00417A82">
        <w:rPr>
          <w:rFonts w:hAnsi="ＭＳ 明朝" w:hint="eastAsia"/>
          <w:w w:val="92"/>
          <w:szCs w:val="24"/>
        </w:rPr>
        <w:t>主に</w:t>
      </w:r>
      <w:r>
        <w:rPr>
          <w:rFonts w:hAnsi="ＭＳ 明朝" w:hint="eastAsia"/>
          <w:w w:val="92"/>
          <w:szCs w:val="24"/>
        </w:rPr>
        <w:t>、</w:t>
      </w:r>
      <w:r w:rsidR="00295296" w:rsidRPr="00417A82">
        <w:rPr>
          <w:rFonts w:hAnsi="ＭＳ 明朝" w:hint="eastAsia"/>
          <w:w w:val="92"/>
          <w:szCs w:val="24"/>
        </w:rPr>
        <w:t>臨時財政対策債で151,700千円(△4.2％</w:t>
      </w:r>
      <w:r w:rsidR="00295296" w:rsidRPr="00417A82">
        <w:rPr>
          <w:rFonts w:hAnsi="ＭＳ 明朝"/>
          <w:w w:val="92"/>
          <w:szCs w:val="24"/>
        </w:rPr>
        <w:t>)</w:t>
      </w:r>
      <w:r w:rsidR="00295296" w:rsidRPr="00417A82">
        <w:rPr>
          <w:rFonts w:hAnsi="ＭＳ 明朝" w:hint="eastAsia"/>
          <w:w w:val="92"/>
          <w:szCs w:val="24"/>
        </w:rPr>
        <w:t>、衛生債で120,300千円(△45.9％)</w:t>
      </w:r>
      <w:r w:rsidR="00295296">
        <w:rPr>
          <w:rFonts w:hAnsi="ＭＳ 明朝" w:hint="eastAsia"/>
          <w:szCs w:val="24"/>
        </w:rPr>
        <w:t>それぞれ減少したものの、教育債で1,235,500千円(53.8％</w:t>
      </w:r>
      <w:r w:rsidR="00295296">
        <w:rPr>
          <w:rFonts w:hAnsi="ＭＳ 明朝"/>
          <w:szCs w:val="24"/>
        </w:rPr>
        <w:t>)</w:t>
      </w:r>
      <w:r w:rsidR="00295296">
        <w:rPr>
          <w:rFonts w:hAnsi="ＭＳ 明朝" w:hint="eastAsia"/>
          <w:szCs w:val="24"/>
        </w:rPr>
        <w:t>、商工債で926,000千円</w:t>
      </w:r>
      <w:r w:rsidR="00295296" w:rsidRPr="000D4FF8">
        <w:rPr>
          <w:rFonts w:hAnsi="ＭＳ 明朝" w:hint="eastAsia"/>
          <w:w w:val="98"/>
          <w:szCs w:val="24"/>
        </w:rPr>
        <w:t>(</w:t>
      </w:r>
      <w:r w:rsidR="00295296" w:rsidRPr="000D4FF8">
        <w:rPr>
          <w:rFonts w:hAnsi="ＭＳ 明朝"/>
          <w:w w:val="98"/>
          <w:szCs w:val="24"/>
        </w:rPr>
        <w:t>779.5</w:t>
      </w:r>
      <w:r w:rsidR="00295296" w:rsidRPr="000D4FF8">
        <w:rPr>
          <w:rFonts w:hAnsi="ＭＳ 明朝" w:hint="eastAsia"/>
          <w:w w:val="98"/>
          <w:szCs w:val="24"/>
        </w:rPr>
        <w:t>％)、総務債で511,000千円(93.2％)それぞれ増加したことによるものである。</w:t>
      </w:r>
    </w:p>
    <w:p w:rsidR="002574A7" w:rsidRDefault="009136B9" w:rsidP="005C4897">
      <w:pPr>
        <w:kinsoku w:val="0"/>
        <w:overflowPunct w:val="0"/>
        <w:snapToGrid w:val="0"/>
        <w:spacing w:line="240" w:lineRule="auto"/>
        <w:ind w:leftChars="200" w:left="480" w:firstLineChars="200" w:firstLine="471"/>
        <w:rPr>
          <w:rFonts w:hAnsi="ＭＳ 明朝"/>
          <w:szCs w:val="24"/>
        </w:rPr>
      </w:pPr>
      <w:r w:rsidRPr="005A65E2">
        <w:rPr>
          <w:rFonts w:hAnsi="ＭＳ 明朝" w:hint="eastAsia"/>
          <w:spacing w:val="8"/>
          <w:w w:val="92"/>
          <w:szCs w:val="24"/>
          <w:fitText w:val="8728" w:id="670185472"/>
        </w:rPr>
        <w:t>また、当年度末現在高は</w:t>
      </w:r>
      <w:r w:rsidR="005A65E2" w:rsidRPr="005A65E2">
        <w:rPr>
          <w:rFonts w:hAnsi="ＭＳ 明朝" w:hint="eastAsia"/>
          <w:spacing w:val="8"/>
          <w:w w:val="92"/>
          <w:szCs w:val="24"/>
          <w:fitText w:val="8728" w:id="670185472"/>
        </w:rPr>
        <w:t>111,378,290</w:t>
      </w:r>
      <w:r w:rsidRPr="005A65E2">
        <w:rPr>
          <w:rFonts w:hAnsi="ＭＳ 明朝" w:hint="eastAsia"/>
          <w:spacing w:val="8"/>
          <w:w w:val="92"/>
          <w:szCs w:val="24"/>
          <w:fitText w:val="8728" w:id="670185472"/>
        </w:rPr>
        <w:t>千円で、前年度末現在高に比べ</w:t>
      </w:r>
      <w:r w:rsidR="005A65E2" w:rsidRPr="005A65E2">
        <w:rPr>
          <w:rFonts w:hAnsi="ＭＳ 明朝" w:hint="eastAsia"/>
          <w:spacing w:val="8"/>
          <w:w w:val="92"/>
          <w:szCs w:val="24"/>
          <w:fitText w:val="8728" w:id="670185472"/>
        </w:rPr>
        <w:t>8,244,768</w:t>
      </w:r>
      <w:r w:rsidR="002574A7" w:rsidRPr="005A65E2">
        <w:rPr>
          <w:rFonts w:hAnsi="ＭＳ 明朝" w:hint="eastAsia"/>
          <w:spacing w:val="8"/>
          <w:w w:val="92"/>
          <w:szCs w:val="24"/>
          <w:fitText w:val="8728" w:id="670185472"/>
        </w:rPr>
        <w:t>千</w:t>
      </w:r>
      <w:r w:rsidR="002574A7" w:rsidRPr="005A65E2">
        <w:rPr>
          <w:rFonts w:hAnsi="ＭＳ 明朝" w:hint="eastAsia"/>
          <w:spacing w:val="17"/>
          <w:w w:val="92"/>
          <w:szCs w:val="24"/>
          <w:fitText w:val="8728" w:id="670185472"/>
        </w:rPr>
        <w:t>円</w:t>
      </w:r>
    </w:p>
    <w:p w:rsidR="009136B9" w:rsidRPr="002574A7" w:rsidRDefault="002574A7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5A65E2">
        <w:rPr>
          <w:rFonts w:hAnsi="ＭＳ 明朝" w:hint="eastAsia"/>
          <w:szCs w:val="24"/>
        </w:rPr>
        <w:t>8</w:t>
      </w:r>
      <w:r w:rsidRPr="002574A7">
        <w:rPr>
          <w:rFonts w:hAnsi="ＭＳ 明朝" w:hint="eastAsia"/>
          <w:szCs w:val="24"/>
        </w:rPr>
        <w:t>.0</w:t>
      </w:r>
      <w:r w:rsidR="009136B9" w:rsidRPr="002574A7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9136B9" w:rsidRPr="002574A7">
        <w:rPr>
          <w:rFonts w:hAnsi="ＭＳ 明朝" w:hint="eastAsia"/>
          <w:szCs w:val="24"/>
        </w:rPr>
        <w:t>増加している。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bookmarkStart w:id="8" w:name="_MON_1438774766"/>
    <w:bookmarkEnd w:id="8"/>
    <w:p w:rsidR="007D5C91" w:rsidRDefault="00DD5818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6942">
          <v:shape id="_x0000_i1032" type="#_x0000_t75" style="width:482.15pt;height:344.65pt" o:ole="">
            <v:imagedata r:id="rId23" o:title=""/>
          </v:shape>
          <o:OLEObject Type="Embed" ProgID="Excel.Sheet.12" ShapeID="_x0000_i1032" DrawAspect="Content" ObjectID="_1509179456" r:id="rId24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B93D5A" w:rsidRDefault="00B93D5A" w:rsidP="00986458">
      <w:pPr>
        <w:spacing w:line="240" w:lineRule="auto"/>
        <w:rPr>
          <w:rFonts w:hAnsi="ＭＳ 明朝"/>
          <w:szCs w:val="24"/>
        </w:rPr>
      </w:pPr>
    </w:p>
    <w:p w:rsidR="00251B0A" w:rsidRPr="00251B0A" w:rsidRDefault="00251B0A" w:rsidP="00F13BD3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51B0A">
        <w:rPr>
          <w:rFonts w:ascii="ＭＳ ゴシック" w:eastAsia="ＭＳ ゴシック" w:hAnsi="ＭＳ ゴシック" w:hint="eastAsia"/>
          <w:szCs w:val="24"/>
        </w:rPr>
        <w:t>市債現在高の状況</w:t>
      </w:r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bookmarkStart w:id="9" w:name="_MON_1438775963"/>
    <w:bookmarkEnd w:id="9"/>
    <w:p w:rsidR="00251B0A" w:rsidRDefault="003C1B22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33" type="#_x0000_t75" style="width:481.35pt;height:2in" o:ole="">
            <v:imagedata r:id="rId25" o:title=""/>
          </v:shape>
          <o:OLEObject Type="Embed" ProgID="Excel.Sheet.12" ShapeID="_x0000_i1033" DrawAspect="Content" ObjectID="_1509179457" r:id="rId26"/>
        </w:object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930AC2" w:rsidRDefault="00930AC2" w:rsidP="00986458">
      <w:pPr>
        <w:spacing w:line="240" w:lineRule="auto"/>
        <w:rPr>
          <w:rFonts w:hAnsi="ＭＳ 明朝"/>
          <w:szCs w:val="24"/>
        </w:rPr>
      </w:pPr>
    </w:p>
    <w:p w:rsidR="00251B0A" w:rsidRPr="008A2D2E" w:rsidRDefault="00BD1340" w:rsidP="00F13BD3">
      <w:pPr>
        <w:spacing w:line="240" w:lineRule="auto"/>
        <w:ind w:firstLineChars="100" w:firstLine="240"/>
        <w:rPr>
          <w:rFonts w:asciiTheme="majorEastAsia" w:eastAsiaTheme="majorEastAsia" w:hAnsiTheme="majorEastAsia"/>
          <w:szCs w:val="24"/>
        </w:rPr>
      </w:pPr>
      <w:r w:rsidRPr="008A2D2E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9C490B" w:rsidP="009C490B">
      <w:pPr>
        <w:wordWrap w:val="0"/>
        <w:spacing w:line="240" w:lineRule="auto"/>
        <w:ind w:firstLineChars="3300" w:firstLine="792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BD1340">
        <w:rPr>
          <w:rFonts w:hAnsi="ＭＳ 明朝" w:hint="eastAsia"/>
          <w:szCs w:val="24"/>
        </w:rPr>
        <w:t>（単位：千円）</w:t>
      </w:r>
    </w:p>
    <w:p w:rsidR="00251B0A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096000" cy="3333750"/>
            <wp:effectExtent l="19050" t="0" r="1905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Pr="00986458" w:rsidRDefault="00251B0A" w:rsidP="00986458">
      <w:pPr>
        <w:spacing w:line="240" w:lineRule="auto"/>
        <w:rPr>
          <w:rFonts w:hAnsi="ＭＳ 明朝"/>
          <w:szCs w:val="24"/>
        </w:rPr>
      </w:pPr>
    </w:p>
    <w:p w:rsidR="003C5F70" w:rsidRDefault="003C5F7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0938F3" w:rsidRDefault="000938F3" w:rsidP="00986458">
      <w:pPr>
        <w:spacing w:line="240" w:lineRule="auto"/>
        <w:rPr>
          <w:rFonts w:hAnsi="ＭＳ 明朝"/>
          <w:szCs w:val="24"/>
        </w:rPr>
      </w:pPr>
    </w:p>
    <w:sectPr w:rsidR="000938F3" w:rsidSect="00CD4B6D">
      <w:footerReference w:type="default" r:id="rId28"/>
      <w:pgSz w:w="11906" w:h="16838" w:code="9"/>
      <w:pgMar w:top="1134" w:right="1134" w:bottom="1134" w:left="1134" w:header="851" w:footer="510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E03" w:rsidRDefault="00A85E03" w:rsidP="00255786">
      <w:pPr>
        <w:spacing w:line="240" w:lineRule="auto"/>
      </w:pPr>
      <w:r>
        <w:separator/>
      </w:r>
    </w:p>
  </w:endnote>
  <w:endnote w:type="continuationSeparator" w:id="0">
    <w:p w:rsidR="00A85E03" w:rsidRDefault="00A85E03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57907"/>
      <w:docPartObj>
        <w:docPartGallery w:val="Page Numbers (Bottom of Page)"/>
        <w:docPartUnique/>
      </w:docPartObj>
    </w:sdtPr>
    <w:sdtContent>
      <w:p w:rsidR="00CD4B6D" w:rsidRDefault="00856E89">
        <w:pPr>
          <w:pStyle w:val="a8"/>
          <w:jc w:val="center"/>
        </w:pPr>
        <w:r>
          <w:fldChar w:fldCharType="begin"/>
        </w:r>
        <w:r w:rsidR="00CD4B6D">
          <w:instrText xml:space="preserve"> PAGE   \* MERGEFORMAT </w:instrText>
        </w:r>
        <w:r>
          <w:fldChar w:fldCharType="separate"/>
        </w:r>
        <w:r w:rsidR="00425AB2" w:rsidRPr="00425AB2">
          <w:rPr>
            <w:noProof/>
            <w:lang w:val="ja-JP"/>
          </w:rPr>
          <w:t>-</w:t>
        </w:r>
        <w:r w:rsidR="00425AB2">
          <w:rPr>
            <w:noProof/>
          </w:rPr>
          <w:t xml:space="preserve"> 22 -</w:t>
        </w:r>
        <w:r>
          <w:fldChar w:fldCharType="end"/>
        </w:r>
      </w:p>
    </w:sdtContent>
  </w:sdt>
  <w:p w:rsidR="00CD4B6D" w:rsidRDefault="00CD4B6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E03" w:rsidRDefault="00A85E03" w:rsidP="00255786">
      <w:pPr>
        <w:spacing w:line="240" w:lineRule="auto"/>
      </w:pPr>
      <w:r>
        <w:separator/>
      </w:r>
    </w:p>
  </w:footnote>
  <w:footnote w:type="continuationSeparator" w:id="0">
    <w:p w:rsidR="00A85E03" w:rsidRDefault="00A85E03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361BF"/>
    <w:multiLevelType w:val="hybridMultilevel"/>
    <w:tmpl w:val="67F498EC"/>
    <w:lvl w:ilvl="0" w:tplc="4C36357C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52C5"/>
    <w:rsid w:val="00032586"/>
    <w:rsid w:val="0003487F"/>
    <w:rsid w:val="0003565F"/>
    <w:rsid w:val="000361B0"/>
    <w:rsid w:val="00040D88"/>
    <w:rsid w:val="00050BFC"/>
    <w:rsid w:val="0005314C"/>
    <w:rsid w:val="000538B7"/>
    <w:rsid w:val="00055D73"/>
    <w:rsid w:val="00061BED"/>
    <w:rsid w:val="000620FC"/>
    <w:rsid w:val="0007065B"/>
    <w:rsid w:val="0007101A"/>
    <w:rsid w:val="00072FC8"/>
    <w:rsid w:val="00080F54"/>
    <w:rsid w:val="00090C7C"/>
    <w:rsid w:val="000938F3"/>
    <w:rsid w:val="000940D1"/>
    <w:rsid w:val="00095FFB"/>
    <w:rsid w:val="000A3482"/>
    <w:rsid w:val="000B044B"/>
    <w:rsid w:val="000B690B"/>
    <w:rsid w:val="000B6AC4"/>
    <w:rsid w:val="000D1FB3"/>
    <w:rsid w:val="000D4FF8"/>
    <w:rsid w:val="00101E7D"/>
    <w:rsid w:val="00106BD6"/>
    <w:rsid w:val="00107F19"/>
    <w:rsid w:val="001109CA"/>
    <w:rsid w:val="00114CF4"/>
    <w:rsid w:val="00116C8B"/>
    <w:rsid w:val="00122438"/>
    <w:rsid w:val="00130566"/>
    <w:rsid w:val="00133B37"/>
    <w:rsid w:val="001506EA"/>
    <w:rsid w:val="00160DFA"/>
    <w:rsid w:val="00192B26"/>
    <w:rsid w:val="00196809"/>
    <w:rsid w:val="001A0415"/>
    <w:rsid w:val="001A3A60"/>
    <w:rsid w:val="001B071B"/>
    <w:rsid w:val="001B1618"/>
    <w:rsid w:val="001C20F2"/>
    <w:rsid w:val="001C6701"/>
    <w:rsid w:val="001C753B"/>
    <w:rsid w:val="001D19FC"/>
    <w:rsid w:val="001D2024"/>
    <w:rsid w:val="001E7CE8"/>
    <w:rsid w:val="001F0CC2"/>
    <w:rsid w:val="001F5593"/>
    <w:rsid w:val="00204370"/>
    <w:rsid w:val="002145C3"/>
    <w:rsid w:val="00215132"/>
    <w:rsid w:val="00217F7F"/>
    <w:rsid w:val="00225EED"/>
    <w:rsid w:val="00243119"/>
    <w:rsid w:val="00251B0A"/>
    <w:rsid w:val="00255786"/>
    <w:rsid w:val="00255BF3"/>
    <w:rsid w:val="002574A7"/>
    <w:rsid w:val="002626DC"/>
    <w:rsid w:val="002639F4"/>
    <w:rsid w:val="0028289D"/>
    <w:rsid w:val="00284931"/>
    <w:rsid w:val="002874D0"/>
    <w:rsid w:val="00295296"/>
    <w:rsid w:val="002959FA"/>
    <w:rsid w:val="00296E3F"/>
    <w:rsid w:val="002B753D"/>
    <w:rsid w:val="002C0CAB"/>
    <w:rsid w:val="002D15FF"/>
    <w:rsid w:val="002F0D48"/>
    <w:rsid w:val="002F4101"/>
    <w:rsid w:val="002F5AED"/>
    <w:rsid w:val="00305C20"/>
    <w:rsid w:val="00311D03"/>
    <w:rsid w:val="00315AE9"/>
    <w:rsid w:val="0032119B"/>
    <w:rsid w:val="00326EC7"/>
    <w:rsid w:val="003309ED"/>
    <w:rsid w:val="00331E98"/>
    <w:rsid w:val="0033728C"/>
    <w:rsid w:val="00342469"/>
    <w:rsid w:val="00353D2C"/>
    <w:rsid w:val="00354100"/>
    <w:rsid w:val="00357482"/>
    <w:rsid w:val="0038782D"/>
    <w:rsid w:val="00397AF8"/>
    <w:rsid w:val="003A3BC0"/>
    <w:rsid w:val="003C1B22"/>
    <w:rsid w:val="003C5F70"/>
    <w:rsid w:val="003C6E25"/>
    <w:rsid w:val="003D7FF4"/>
    <w:rsid w:val="003E1785"/>
    <w:rsid w:val="003E1B30"/>
    <w:rsid w:val="003E7FE5"/>
    <w:rsid w:val="003F089E"/>
    <w:rsid w:val="003F4263"/>
    <w:rsid w:val="00417A82"/>
    <w:rsid w:val="00425AB2"/>
    <w:rsid w:val="00427CAB"/>
    <w:rsid w:val="00430062"/>
    <w:rsid w:val="00445AF2"/>
    <w:rsid w:val="00460048"/>
    <w:rsid w:val="00463978"/>
    <w:rsid w:val="00467CE8"/>
    <w:rsid w:val="0047129B"/>
    <w:rsid w:val="004815C0"/>
    <w:rsid w:val="00481B54"/>
    <w:rsid w:val="00487836"/>
    <w:rsid w:val="0049196E"/>
    <w:rsid w:val="00491D15"/>
    <w:rsid w:val="00496D6D"/>
    <w:rsid w:val="004A7F72"/>
    <w:rsid w:val="004D23BA"/>
    <w:rsid w:val="004D7C8F"/>
    <w:rsid w:val="004E3054"/>
    <w:rsid w:val="004E48E9"/>
    <w:rsid w:val="004E7E88"/>
    <w:rsid w:val="004F1A37"/>
    <w:rsid w:val="004F679A"/>
    <w:rsid w:val="0050727E"/>
    <w:rsid w:val="00514EDE"/>
    <w:rsid w:val="00520DEE"/>
    <w:rsid w:val="0053042A"/>
    <w:rsid w:val="005308EF"/>
    <w:rsid w:val="005436BA"/>
    <w:rsid w:val="005517E5"/>
    <w:rsid w:val="00554159"/>
    <w:rsid w:val="005552E7"/>
    <w:rsid w:val="00560319"/>
    <w:rsid w:val="00570432"/>
    <w:rsid w:val="00571C0A"/>
    <w:rsid w:val="00572C9E"/>
    <w:rsid w:val="00582CF2"/>
    <w:rsid w:val="00583D7C"/>
    <w:rsid w:val="005904FF"/>
    <w:rsid w:val="005A65E2"/>
    <w:rsid w:val="005B0C8A"/>
    <w:rsid w:val="005C2701"/>
    <w:rsid w:val="005C4897"/>
    <w:rsid w:val="005D015C"/>
    <w:rsid w:val="005D1B52"/>
    <w:rsid w:val="005D239C"/>
    <w:rsid w:val="005D43B2"/>
    <w:rsid w:val="005F7B37"/>
    <w:rsid w:val="006002D3"/>
    <w:rsid w:val="00617ADC"/>
    <w:rsid w:val="00621B2A"/>
    <w:rsid w:val="006232DD"/>
    <w:rsid w:val="0062344B"/>
    <w:rsid w:val="0063043F"/>
    <w:rsid w:val="006354E4"/>
    <w:rsid w:val="00661788"/>
    <w:rsid w:val="00662524"/>
    <w:rsid w:val="0067194E"/>
    <w:rsid w:val="00672E90"/>
    <w:rsid w:val="006A7EE0"/>
    <w:rsid w:val="006A7FEA"/>
    <w:rsid w:val="006B089C"/>
    <w:rsid w:val="006B0FB8"/>
    <w:rsid w:val="006E36A0"/>
    <w:rsid w:val="006F27F7"/>
    <w:rsid w:val="00711008"/>
    <w:rsid w:val="007118DB"/>
    <w:rsid w:val="00720D83"/>
    <w:rsid w:val="00722253"/>
    <w:rsid w:val="00727955"/>
    <w:rsid w:val="00727CA6"/>
    <w:rsid w:val="00735C13"/>
    <w:rsid w:val="00755402"/>
    <w:rsid w:val="00756928"/>
    <w:rsid w:val="00765D94"/>
    <w:rsid w:val="007710D0"/>
    <w:rsid w:val="007719F5"/>
    <w:rsid w:val="0077289F"/>
    <w:rsid w:val="00787C63"/>
    <w:rsid w:val="007A16C9"/>
    <w:rsid w:val="007A433E"/>
    <w:rsid w:val="007A6F6E"/>
    <w:rsid w:val="007B41C8"/>
    <w:rsid w:val="007B4681"/>
    <w:rsid w:val="007C5F94"/>
    <w:rsid w:val="007D0A8D"/>
    <w:rsid w:val="007D5C91"/>
    <w:rsid w:val="007E466D"/>
    <w:rsid w:val="007E5993"/>
    <w:rsid w:val="007F1A84"/>
    <w:rsid w:val="007F1BA4"/>
    <w:rsid w:val="00801114"/>
    <w:rsid w:val="008045CA"/>
    <w:rsid w:val="0080526C"/>
    <w:rsid w:val="0083478C"/>
    <w:rsid w:val="00842D3A"/>
    <w:rsid w:val="00844A2E"/>
    <w:rsid w:val="00847C9D"/>
    <w:rsid w:val="008543D0"/>
    <w:rsid w:val="00856E89"/>
    <w:rsid w:val="00860CB4"/>
    <w:rsid w:val="008711A3"/>
    <w:rsid w:val="0087171A"/>
    <w:rsid w:val="00874110"/>
    <w:rsid w:val="00876C19"/>
    <w:rsid w:val="008803D1"/>
    <w:rsid w:val="008834DD"/>
    <w:rsid w:val="0088720F"/>
    <w:rsid w:val="00887348"/>
    <w:rsid w:val="00890B27"/>
    <w:rsid w:val="008A251D"/>
    <w:rsid w:val="008A2D2E"/>
    <w:rsid w:val="008A610D"/>
    <w:rsid w:val="008B6F6D"/>
    <w:rsid w:val="008D76A9"/>
    <w:rsid w:val="009014B7"/>
    <w:rsid w:val="0090376A"/>
    <w:rsid w:val="00912A7D"/>
    <w:rsid w:val="009136B9"/>
    <w:rsid w:val="00920DBC"/>
    <w:rsid w:val="00923ABF"/>
    <w:rsid w:val="00930AC2"/>
    <w:rsid w:val="00931FB7"/>
    <w:rsid w:val="00936C28"/>
    <w:rsid w:val="00940888"/>
    <w:rsid w:val="00953201"/>
    <w:rsid w:val="00966C97"/>
    <w:rsid w:val="0097600A"/>
    <w:rsid w:val="00982EB7"/>
    <w:rsid w:val="00986458"/>
    <w:rsid w:val="009B5FCA"/>
    <w:rsid w:val="009B691E"/>
    <w:rsid w:val="009C2A79"/>
    <w:rsid w:val="009C490B"/>
    <w:rsid w:val="009D440E"/>
    <w:rsid w:val="009E43C9"/>
    <w:rsid w:val="009E786B"/>
    <w:rsid w:val="009F2D60"/>
    <w:rsid w:val="00A11BEC"/>
    <w:rsid w:val="00A34ECF"/>
    <w:rsid w:val="00A47A95"/>
    <w:rsid w:val="00A60D53"/>
    <w:rsid w:val="00A646F6"/>
    <w:rsid w:val="00A72206"/>
    <w:rsid w:val="00A72591"/>
    <w:rsid w:val="00A85E03"/>
    <w:rsid w:val="00A9772F"/>
    <w:rsid w:val="00AC0A5C"/>
    <w:rsid w:val="00AC5D97"/>
    <w:rsid w:val="00AC7E53"/>
    <w:rsid w:val="00AD0C65"/>
    <w:rsid w:val="00AE1072"/>
    <w:rsid w:val="00AE1164"/>
    <w:rsid w:val="00AE13A7"/>
    <w:rsid w:val="00AE1937"/>
    <w:rsid w:val="00AE30D2"/>
    <w:rsid w:val="00AF0D08"/>
    <w:rsid w:val="00AF44E4"/>
    <w:rsid w:val="00B00378"/>
    <w:rsid w:val="00B02026"/>
    <w:rsid w:val="00B03784"/>
    <w:rsid w:val="00B115A4"/>
    <w:rsid w:val="00B1686E"/>
    <w:rsid w:val="00B203B0"/>
    <w:rsid w:val="00B2467C"/>
    <w:rsid w:val="00B30A57"/>
    <w:rsid w:val="00B60D86"/>
    <w:rsid w:val="00B80806"/>
    <w:rsid w:val="00B87C4E"/>
    <w:rsid w:val="00B93D5A"/>
    <w:rsid w:val="00BB1002"/>
    <w:rsid w:val="00BC04D0"/>
    <w:rsid w:val="00BC58CE"/>
    <w:rsid w:val="00BD1340"/>
    <w:rsid w:val="00BD4BD4"/>
    <w:rsid w:val="00BE45B0"/>
    <w:rsid w:val="00BE6A23"/>
    <w:rsid w:val="00BF5D51"/>
    <w:rsid w:val="00C0188E"/>
    <w:rsid w:val="00C40087"/>
    <w:rsid w:val="00C579DD"/>
    <w:rsid w:val="00C60D8D"/>
    <w:rsid w:val="00C63ED3"/>
    <w:rsid w:val="00C6685F"/>
    <w:rsid w:val="00C66D49"/>
    <w:rsid w:val="00C67EF8"/>
    <w:rsid w:val="00C73B3C"/>
    <w:rsid w:val="00C86DEA"/>
    <w:rsid w:val="00C96678"/>
    <w:rsid w:val="00C96AFB"/>
    <w:rsid w:val="00CA4BD1"/>
    <w:rsid w:val="00CB1F23"/>
    <w:rsid w:val="00CC0397"/>
    <w:rsid w:val="00CC6F7A"/>
    <w:rsid w:val="00CD4B6D"/>
    <w:rsid w:val="00CD6965"/>
    <w:rsid w:val="00CD6D41"/>
    <w:rsid w:val="00CE5B6B"/>
    <w:rsid w:val="00CF032A"/>
    <w:rsid w:val="00CF3463"/>
    <w:rsid w:val="00D06E2D"/>
    <w:rsid w:val="00D155AA"/>
    <w:rsid w:val="00D21795"/>
    <w:rsid w:val="00D22630"/>
    <w:rsid w:val="00D23C54"/>
    <w:rsid w:val="00D26391"/>
    <w:rsid w:val="00D3426B"/>
    <w:rsid w:val="00D3704F"/>
    <w:rsid w:val="00D52900"/>
    <w:rsid w:val="00D54EFC"/>
    <w:rsid w:val="00D57DFA"/>
    <w:rsid w:val="00D7043C"/>
    <w:rsid w:val="00D72445"/>
    <w:rsid w:val="00D72B5D"/>
    <w:rsid w:val="00D72F07"/>
    <w:rsid w:val="00D82582"/>
    <w:rsid w:val="00D91257"/>
    <w:rsid w:val="00D92CA8"/>
    <w:rsid w:val="00DB0DA3"/>
    <w:rsid w:val="00DB63B0"/>
    <w:rsid w:val="00DC6ABE"/>
    <w:rsid w:val="00DD02B8"/>
    <w:rsid w:val="00DD0C22"/>
    <w:rsid w:val="00DD460A"/>
    <w:rsid w:val="00DD5818"/>
    <w:rsid w:val="00DE4E14"/>
    <w:rsid w:val="00DF0E9A"/>
    <w:rsid w:val="00E05492"/>
    <w:rsid w:val="00E23E55"/>
    <w:rsid w:val="00E6241F"/>
    <w:rsid w:val="00E70839"/>
    <w:rsid w:val="00E76E5F"/>
    <w:rsid w:val="00E877A4"/>
    <w:rsid w:val="00E9770E"/>
    <w:rsid w:val="00EA02E9"/>
    <w:rsid w:val="00EA03A4"/>
    <w:rsid w:val="00EA14EE"/>
    <w:rsid w:val="00EA2E23"/>
    <w:rsid w:val="00EC4E07"/>
    <w:rsid w:val="00EC52A5"/>
    <w:rsid w:val="00EC5C6E"/>
    <w:rsid w:val="00EC5D01"/>
    <w:rsid w:val="00ED0270"/>
    <w:rsid w:val="00ED4B83"/>
    <w:rsid w:val="00F005AF"/>
    <w:rsid w:val="00F0160F"/>
    <w:rsid w:val="00F04AE3"/>
    <w:rsid w:val="00F10419"/>
    <w:rsid w:val="00F11047"/>
    <w:rsid w:val="00F13BD3"/>
    <w:rsid w:val="00F36991"/>
    <w:rsid w:val="00F44F8C"/>
    <w:rsid w:val="00F45180"/>
    <w:rsid w:val="00F55337"/>
    <w:rsid w:val="00F62FFB"/>
    <w:rsid w:val="00F6554A"/>
    <w:rsid w:val="00F70226"/>
    <w:rsid w:val="00F82EE0"/>
    <w:rsid w:val="00F87F98"/>
    <w:rsid w:val="00F93519"/>
    <w:rsid w:val="00F94B0E"/>
    <w:rsid w:val="00FA65CC"/>
    <w:rsid w:val="00FA7404"/>
    <w:rsid w:val="00FB16AD"/>
    <w:rsid w:val="00FC1ED7"/>
    <w:rsid w:val="00FC2D0F"/>
    <w:rsid w:val="00FC62A9"/>
    <w:rsid w:val="00FE1CE4"/>
    <w:rsid w:val="00FE78D7"/>
    <w:rsid w:val="00FE7D4F"/>
    <w:rsid w:val="00FF4046"/>
    <w:rsid w:val="00FF42B4"/>
    <w:rsid w:val="00FF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Block Text"/>
    <w:basedOn w:val="a"/>
    <w:rsid w:val="000938F3"/>
    <w:pPr>
      <w:kinsoku w:val="0"/>
      <w:wordWrap w:val="0"/>
      <w:overflowPunct w:val="0"/>
      <w:snapToGrid w:val="0"/>
      <w:spacing w:line="396" w:lineRule="exact"/>
      <w:ind w:left="215" w:right="215"/>
    </w:pPr>
    <w:rPr>
      <w:rFonts w:hAnsi="ＭＳ 明朝"/>
      <w:spacing w:val="2"/>
      <w:sz w:val="21"/>
    </w:rPr>
  </w:style>
  <w:style w:type="paragraph" w:styleId="ab">
    <w:name w:val="List Paragraph"/>
    <w:basedOn w:val="a"/>
    <w:uiPriority w:val="34"/>
    <w:qFormat/>
    <w:rsid w:val="000938F3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package" Target="embeddings/Microsoft_Office_Excel_______6.xlsx"/><Relationship Id="rId26" Type="http://schemas.openxmlformats.org/officeDocument/2006/relationships/package" Target="embeddings/Microsoft_Office_Excel_______10.xlsx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endnotes" Target="endnotes.xml"/><Relationship Id="rId12" Type="http://schemas.openxmlformats.org/officeDocument/2006/relationships/package" Target="embeddings/Microsoft_Office_Excel_______3.xlsx"/><Relationship Id="rId17" Type="http://schemas.openxmlformats.org/officeDocument/2006/relationships/image" Target="media/image5.emf"/><Relationship Id="rId25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package" Target="embeddings/Microsoft_Office_Excel_______5.xlsx"/><Relationship Id="rId20" Type="http://schemas.openxmlformats.org/officeDocument/2006/relationships/package" Target="embeddings/Microsoft_Office_Excel_______7.xlsx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24" Type="http://schemas.openxmlformats.org/officeDocument/2006/relationships/package" Target="embeddings/Microsoft_Office_Excel_______9.xlsx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image" Target="media/image8.emf"/><Relationship Id="rId28" Type="http://schemas.openxmlformats.org/officeDocument/2006/relationships/footer" Target="footer1.xml"/><Relationship Id="rId10" Type="http://schemas.openxmlformats.org/officeDocument/2006/relationships/chart" Target="charts/chart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package" Target="embeddings/Microsoft_Office_Excel_______1.xlsx"/><Relationship Id="rId14" Type="http://schemas.openxmlformats.org/officeDocument/2006/relationships/package" Target="embeddings/Microsoft_Office_Excel_______4.xlsx"/><Relationship Id="rId22" Type="http://schemas.openxmlformats.org/officeDocument/2006/relationships/package" Target="embeddings/Microsoft_Office_Excel_______8.xlsx"/><Relationship Id="rId27" Type="http://schemas.openxmlformats.org/officeDocument/2006/relationships/chart" Target="charts/chart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ja-JP"/>
  <c:chart>
    <c:autoTitleDeleted val="1"/>
    <c:view3D>
      <c:rotX val="20"/>
      <c:perspective val="0"/>
    </c:view3D>
    <c:plotArea>
      <c:layout>
        <c:manualLayout>
          <c:layoutTarget val="inner"/>
          <c:xMode val="edge"/>
          <c:yMode val="edge"/>
          <c:x val="0.1255961844197139"/>
          <c:y val="0.30054644808743181"/>
          <c:w val="0.81717011128775829"/>
          <c:h val="0.66939890710384176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4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/>
                      <a:t>市税</a:t>
                    </a:r>
                    <a:r>
                      <a:rPr lang="en-US" altLang="ja-JP"/>
                      <a:t>30.3(30.3) </a:t>
                    </a:r>
                  </a:p>
                </c:rich>
              </c:tx>
              <c:dLblPos val="ctr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9870483325734692"/>
                  <c:y val="-0.2211347517730496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19.6(16.3)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3864962889028934E-2"/>
                  <c:y val="-0.35998966884459305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11.3(13.0)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34571274834777416"/>
                  <c:y val="-5.4134137488133595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国庫支出金</a:t>
                    </a:r>
                    <a:r>
                      <a:rPr lang="en-US" altLang="ja-JP"/>
                      <a:t>16.7(20.1)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9696458130527283E-2"/>
                  <c:y val="-0.124219299715195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5.5(5.7)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7.9724963956972081E-2"/>
                  <c:y val="-0.1280021779192493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4.9(5.5)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5550035118849997"/>
                  <c:y val="-0.15180013402580209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繰入金</a:t>
                    </a:r>
                    <a:r>
                      <a:rPr lang="en-US" altLang="ja-JP"/>
                      <a:t>3.0(1.1)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20171511424921651"/>
                  <c:y val="-0.2262414139721949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2.4(2.0)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984272505842923E-2"/>
                  <c:y val="-0.2239978779248339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分担金及び負担金</a:t>
                    </a:r>
                    <a:r>
                      <a:rPr lang="en-US" altLang="ja-JP"/>
                      <a:t>1.8(2.0)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.10317860502179012"/>
                  <c:y val="-0.249429831909310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1.8(1.8)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0.17965324756940843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2.7(2.2) 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Val val="1"/>
            <c:showCatNam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市債</c:v>
                </c:pt>
                <c:pt idx="2">
                  <c:v>国庫支出金</c:v>
                </c:pt>
                <c:pt idx="3">
                  <c:v>地方交付税</c:v>
                </c:pt>
                <c:pt idx="4">
                  <c:v>諸収入</c:v>
                </c:pt>
                <c:pt idx="5">
                  <c:v>県支出金</c:v>
                </c:pt>
                <c:pt idx="6">
                  <c:v>繰入金</c:v>
                </c:pt>
                <c:pt idx="7">
                  <c:v>地方消費税交付金</c:v>
                </c:pt>
                <c:pt idx="8">
                  <c:v>分担金及び負担金</c:v>
                </c:pt>
                <c:pt idx="9">
                  <c:v>使用料及び手数料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30.3</c:v>
                </c:pt>
                <c:pt idx="1">
                  <c:v>19.600000000000001</c:v>
                </c:pt>
                <c:pt idx="2">
                  <c:v>16.7</c:v>
                </c:pt>
                <c:pt idx="3">
                  <c:v>11.3</c:v>
                </c:pt>
                <c:pt idx="4">
                  <c:v>5.5</c:v>
                </c:pt>
                <c:pt idx="5">
                  <c:v>4.9000000000000004</c:v>
                </c:pt>
                <c:pt idx="6">
                  <c:v>3</c:v>
                </c:pt>
                <c:pt idx="7">
                  <c:v>2.4</c:v>
                </c:pt>
                <c:pt idx="8">
                  <c:v>1.8</c:v>
                </c:pt>
                <c:pt idx="9">
                  <c:v>1.8</c:v>
                </c:pt>
                <c:pt idx="10">
                  <c:v>2.7</c:v>
                </c:pt>
              </c:numCache>
            </c:numRef>
          </c:val>
        </c:ser>
        <c:dLbls>
          <c:showVal val="1"/>
          <c:showCatName val="1"/>
        </c:dLbls>
      </c:pie3DChart>
      <c:spPr>
        <a:noFill/>
        <a:ln w="2539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plotArea>
      <c:layout>
        <c:manualLayout>
          <c:layoutTarget val="inner"/>
          <c:xMode val="edge"/>
          <c:yMode val="edge"/>
          <c:x val="0.12173340034623542"/>
          <c:y val="7.4576271186442222E-2"/>
          <c:w val="0.74440849149175503"/>
          <c:h val="0.6610169491525423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243820813361931E-2"/>
                  <c:y val="-2.2688232878920741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1974477254248727E-3"/>
                  <c:y val="-3.3588000166275382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518251964519501E-3"/>
                  <c:y val="-2.7735496663915393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2288977926486594E-4"/>
                  <c:y val="-6.045452987451213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3.4387709685134854E-3"/>
                  <c:y val="-4.329782478218107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22年度</c:v>
                </c:pt>
                <c:pt idx="1">
                  <c:v>23年度</c:v>
                </c:pt>
                <c:pt idx="2">
                  <c:v>24年度</c:v>
                </c:pt>
                <c:pt idx="3">
                  <c:v>25年度</c:v>
                </c:pt>
                <c:pt idx="4">
                  <c:v>26年度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10557300</c:v>
                </c:pt>
                <c:pt idx="1">
                  <c:v>11099500</c:v>
                </c:pt>
                <c:pt idx="2">
                  <c:v>11369400</c:v>
                </c:pt>
                <c:pt idx="3">
                  <c:v>13629600</c:v>
                </c:pt>
                <c:pt idx="4">
                  <c:v>16542700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dLbls>
            <c:dLbl>
              <c:idx val="0"/>
              <c:layout>
                <c:manualLayout>
                  <c:x val="2.7477936979357551E-2"/>
                  <c:y val="4.066157192979441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9993493131835178E-2"/>
                  <c:y val="-6.3562538150357343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093688475867298E-2"/>
                  <c:y val="1.0023431705659543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452603429536994E-2"/>
                  <c:y val="-6.927961179067819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078412073490814E-2"/>
                  <c:y val="7.9790026246719381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22年度</c:v>
                </c:pt>
                <c:pt idx="1">
                  <c:v>23年度</c:v>
                </c:pt>
                <c:pt idx="2">
                  <c:v>24年度</c:v>
                </c:pt>
                <c:pt idx="3">
                  <c:v>25年度</c:v>
                </c:pt>
                <c:pt idx="4">
                  <c:v>26年度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7446489</c:v>
                </c:pt>
                <c:pt idx="1">
                  <c:v>7625313</c:v>
                </c:pt>
                <c:pt idx="2">
                  <c:v>8085557</c:v>
                </c:pt>
                <c:pt idx="3">
                  <c:v>7765263</c:v>
                </c:pt>
                <c:pt idx="4">
                  <c:v>8297932</c:v>
                </c:pt>
              </c:numCache>
            </c:numRef>
          </c:val>
        </c:ser>
        <c:axId val="81356288"/>
        <c:axId val="81357824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76310461533E-2"/>
                  <c:y val="-5.229870939652977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817384683623533E-2"/>
                  <c:y val="-5.1979536456248039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301666012760022E-2"/>
                  <c:y val="-5.179276541529843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502928473972315E-2"/>
                  <c:y val="-5.299453406056948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276517979209092E-2"/>
                  <c:y val="-4.1685128342008076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22年度</c:v>
                </c:pt>
                <c:pt idx="1">
                  <c:v>23年度</c:v>
                </c:pt>
                <c:pt idx="2">
                  <c:v>24年度</c:v>
                </c:pt>
                <c:pt idx="3">
                  <c:v>25年度</c:v>
                </c:pt>
                <c:pt idx="4">
                  <c:v>26年度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90511155</c:v>
                </c:pt>
                <c:pt idx="1">
                  <c:v>93985342</c:v>
                </c:pt>
                <c:pt idx="2">
                  <c:v>97269185</c:v>
                </c:pt>
                <c:pt idx="3">
                  <c:v>103133522</c:v>
                </c:pt>
                <c:pt idx="4">
                  <c:v>111378290</c:v>
                </c:pt>
              </c:numCache>
            </c:numRef>
          </c:val>
        </c:ser>
        <c:marker val="1"/>
        <c:axId val="81388672"/>
        <c:axId val="81390208"/>
      </c:lineChart>
      <c:catAx>
        <c:axId val="81356288"/>
        <c:scaling>
          <c:orientation val="minMax"/>
        </c:scaling>
        <c:axPos val="b"/>
        <c:numFmt formatCode="General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81357824"/>
        <c:crosses val="autoZero"/>
        <c:lblAlgn val="ctr"/>
        <c:lblOffset val="100"/>
        <c:tickLblSkip val="1"/>
        <c:tickMarkSkip val="1"/>
      </c:catAx>
      <c:valAx>
        <c:axId val="81357824"/>
        <c:scaling>
          <c:orientation val="minMax"/>
          <c:max val="21000000"/>
          <c:min val="0"/>
        </c:scaling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499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1356288"/>
        <c:crosses val="autoZero"/>
        <c:crossBetween val="between"/>
        <c:majorUnit val="3000000"/>
        <c:minorUnit val="3000000"/>
      </c:valAx>
      <c:catAx>
        <c:axId val="81388672"/>
        <c:scaling>
          <c:orientation val="minMax"/>
        </c:scaling>
        <c:delete val="1"/>
        <c:axPos val="b"/>
        <c:numFmt formatCode="General" sourceLinked="1"/>
        <c:tickLblPos val="none"/>
        <c:crossAx val="81390208"/>
        <c:crosses val="autoZero"/>
        <c:lblAlgn val="ctr"/>
        <c:lblOffset val="100"/>
      </c:catAx>
      <c:valAx>
        <c:axId val="81390208"/>
        <c:scaling>
          <c:orientation val="minMax"/>
          <c:max val="120000000"/>
          <c:min val="0"/>
        </c:scaling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6540880503144655"/>
              <c:y val="0.23389830508474579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1388672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094339622641975"/>
          <c:y val="0.84067796610169565"/>
          <c:w val="0.69811320754716977"/>
          <c:h val="8.4745762711866762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1FB40-BFD9-49D7-AE65-935031CD2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3360</TotalTime>
  <Pages>9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125</cp:revision>
  <cp:lastPrinted>2015-08-20T04:40:00Z</cp:lastPrinted>
  <dcterms:created xsi:type="dcterms:W3CDTF">2013-09-11T05:53:00Z</dcterms:created>
  <dcterms:modified xsi:type="dcterms:W3CDTF">2015-11-16T02:44:00Z</dcterms:modified>
</cp:coreProperties>
</file>