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05E" w:rsidRDefault="002329AA">
      <w:pPr>
        <w:spacing w:after="146"/>
        <w:ind w:left="0" w:right="111" w:firstLine="0"/>
        <w:jc w:val="center"/>
      </w:pPr>
      <w:r>
        <w:rPr>
          <w:sz w:val="28"/>
        </w:rPr>
        <w:t>行政監査の結果及び意見について</w:t>
      </w:r>
      <w:r>
        <w:rPr>
          <w:sz w:val="28"/>
        </w:rPr>
        <w:t xml:space="preserve"> </w:t>
      </w:r>
    </w:p>
    <w:p w:rsidR="0061405E" w:rsidRDefault="002329AA">
      <w:pPr>
        <w:spacing w:after="69"/>
        <w:ind w:left="0" w:right="3" w:firstLine="0"/>
        <w:jc w:val="center"/>
      </w:pPr>
      <w:r>
        <w:t xml:space="preserve"> </w:t>
      </w:r>
    </w:p>
    <w:p w:rsidR="0061405E" w:rsidRDefault="002329AA">
      <w:pPr>
        <w:spacing w:line="321" w:lineRule="auto"/>
        <w:ind w:left="-15" w:firstLine="221"/>
      </w:pPr>
      <w:r>
        <w:t>地方自治法第</w:t>
      </w:r>
      <w:r>
        <w:t>199</w:t>
      </w:r>
      <w:r>
        <w:t>条第２項の規定により、平成</w:t>
      </w:r>
      <w:r>
        <w:t>27</w:t>
      </w:r>
      <w:r>
        <w:t>年度・</w:t>
      </w:r>
      <w:r>
        <w:t>28</w:t>
      </w:r>
      <w:r>
        <w:t>年度において行政監査を実施しましたので、同条第９項の規定により、次のとおりその結果を報告します。また、同条第</w:t>
      </w:r>
      <w:r>
        <w:t>10</w:t>
      </w:r>
      <w:r>
        <w:t>項の規定により、意見を提出します。</w:t>
      </w:r>
      <w:r>
        <w:t xml:space="preserve"> </w:t>
      </w:r>
    </w:p>
    <w:p w:rsidR="0061405E" w:rsidRDefault="002329AA">
      <w:pPr>
        <w:spacing w:after="69"/>
        <w:ind w:left="0" w:firstLine="0"/>
      </w:pPr>
      <w:r>
        <w:t xml:space="preserve"> </w:t>
      </w:r>
    </w:p>
    <w:p w:rsidR="0061405E" w:rsidRDefault="002329AA">
      <w:pPr>
        <w:spacing w:after="69"/>
        <w:ind w:left="0" w:right="113" w:firstLine="0"/>
        <w:jc w:val="center"/>
      </w:pPr>
      <w:r>
        <w:t>記</w:t>
      </w:r>
      <w:r>
        <w:t xml:space="preserve"> </w:t>
      </w:r>
    </w:p>
    <w:p w:rsidR="0061405E" w:rsidRDefault="002329AA">
      <w:pPr>
        <w:spacing w:after="70"/>
        <w:ind w:left="0" w:firstLine="0"/>
      </w:pPr>
      <w:r>
        <w:t xml:space="preserve"> </w:t>
      </w:r>
    </w:p>
    <w:p w:rsidR="0061405E" w:rsidRDefault="002329AA">
      <w:pPr>
        <w:numPr>
          <w:ilvl w:val="0"/>
          <w:numId w:val="1"/>
        </w:numPr>
        <w:spacing w:after="69"/>
        <w:ind w:hanging="442"/>
      </w:pPr>
      <w:r>
        <w:t>監査のテーマ</w:t>
      </w:r>
      <w:r>
        <w:t xml:space="preserve"> </w:t>
      </w:r>
    </w:p>
    <w:p w:rsidR="0061405E" w:rsidRDefault="002329AA">
      <w:pPr>
        <w:spacing w:after="69"/>
        <w:ind w:left="-5"/>
      </w:pPr>
      <w:r>
        <w:t xml:space="preserve">  </w:t>
      </w:r>
      <w:r>
        <w:t>準公金の管理状況について</w:t>
      </w:r>
      <w:r>
        <w:t xml:space="preserve"> </w:t>
      </w:r>
    </w:p>
    <w:p w:rsidR="0061405E" w:rsidRDefault="002329AA">
      <w:pPr>
        <w:spacing w:after="69"/>
        <w:ind w:left="0" w:firstLine="0"/>
      </w:pPr>
      <w:r>
        <w:t xml:space="preserve">  </w:t>
      </w:r>
    </w:p>
    <w:p w:rsidR="0061405E" w:rsidRDefault="002329AA">
      <w:pPr>
        <w:spacing w:line="321" w:lineRule="auto"/>
        <w:ind w:left="645" w:hanging="660"/>
      </w:pPr>
      <w:r>
        <w:t xml:space="preserve">  ※</w:t>
      </w:r>
      <w:r>
        <w:t>準公金の定義：市職員が職務遂行の関係上、出納、保管を取り扱っている任意団体の現金、預金等で、本市の財務会計規則の適用対象外のもの。</w:t>
      </w:r>
      <w:r>
        <w:t xml:space="preserve"> </w:t>
      </w:r>
    </w:p>
    <w:p w:rsidR="0061405E" w:rsidRDefault="002329AA">
      <w:pPr>
        <w:spacing w:after="69"/>
        <w:ind w:left="0" w:firstLine="0"/>
      </w:pPr>
      <w:r>
        <w:t xml:space="preserve"> </w:t>
      </w:r>
    </w:p>
    <w:p w:rsidR="0061405E" w:rsidRDefault="002329AA">
      <w:pPr>
        <w:numPr>
          <w:ilvl w:val="0"/>
          <w:numId w:val="1"/>
        </w:numPr>
        <w:spacing w:after="69"/>
        <w:ind w:hanging="442"/>
      </w:pPr>
      <w:r>
        <w:t>監査の目的</w:t>
      </w:r>
      <w:r>
        <w:t xml:space="preserve"> </w:t>
      </w:r>
    </w:p>
    <w:p w:rsidR="0061405E" w:rsidRDefault="002329AA">
      <w:pPr>
        <w:spacing w:line="321" w:lineRule="auto"/>
        <w:ind w:left="206" w:hanging="221"/>
      </w:pPr>
      <w:r>
        <w:t xml:space="preserve">  </w:t>
      </w:r>
      <w:r>
        <w:t>本市において、</w:t>
      </w:r>
      <w:r>
        <w:t>市職員が職務執行の関係から、準公金の出納、管理等の事務に携わっている状況がある。この準公金に係る事務は、高岡市財務会計規則の適用対象外となっていることから、会計管理者による審査や監査委員による財務監査の対象とはなっていない。しかし、仮に、本市職員による準公金の取扱いにおいて事故等が発生した場合には、担当職員に加え市の管理責任が問われることになる。</w:t>
      </w:r>
      <w:r>
        <w:t xml:space="preserve"> </w:t>
      </w:r>
    </w:p>
    <w:p w:rsidR="0061405E" w:rsidRDefault="002329AA">
      <w:pPr>
        <w:spacing w:line="321" w:lineRule="auto"/>
        <w:ind w:left="206" w:hanging="221"/>
      </w:pPr>
      <w:r>
        <w:t xml:space="preserve">  </w:t>
      </w:r>
      <w:r>
        <w:t>このようなことから、準公金の取扱いにおける不正防止や事故防止に資することを目的として、行政監査を実施するものである。</w:t>
      </w:r>
      <w:r>
        <w:t xml:space="preserve"> </w:t>
      </w:r>
    </w:p>
    <w:p w:rsidR="0061405E" w:rsidRDefault="002329AA">
      <w:pPr>
        <w:spacing w:after="69"/>
        <w:ind w:left="0" w:firstLine="0"/>
      </w:pPr>
      <w:r>
        <w:t xml:space="preserve"> </w:t>
      </w:r>
    </w:p>
    <w:p w:rsidR="0061405E" w:rsidRDefault="002329AA">
      <w:pPr>
        <w:numPr>
          <w:ilvl w:val="0"/>
          <w:numId w:val="1"/>
        </w:numPr>
        <w:spacing w:after="69"/>
        <w:ind w:hanging="442"/>
      </w:pPr>
      <w:r>
        <w:t>監査の対象</w:t>
      </w:r>
      <w:r>
        <w:t xml:space="preserve"> </w:t>
      </w:r>
    </w:p>
    <w:p w:rsidR="0061405E" w:rsidRDefault="002329AA">
      <w:pPr>
        <w:spacing w:after="69"/>
        <w:ind w:left="449"/>
      </w:pPr>
      <w:r>
        <w:t>平成</w:t>
      </w:r>
      <w:r>
        <w:t>26</w:t>
      </w:r>
      <w:r>
        <w:t>年度及び</w:t>
      </w:r>
      <w:r>
        <w:t>27</w:t>
      </w:r>
      <w:r>
        <w:t>年度に行った準公金の出納、管理等の事務</w:t>
      </w:r>
      <w:r>
        <w:t xml:space="preserve"> </w:t>
      </w:r>
    </w:p>
    <w:p w:rsidR="0061405E" w:rsidRDefault="002329AA">
      <w:pPr>
        <w:spacing w:after="70"/>
        <w:ind w:left="0" w:firstLine="0"/>
      </w:pPr>
      <w:r>
        <w:t xml:space="preserve"> </w:t>
      </w:r>
    </w:p>
    <w:p w:rsidR="0061405E" w:rsidRDefault="002329AA">
      <w:pPr>
        <w:numPr>
          <w:ilvl w:val="0"/>
          <w:numId w:val="1"/>
        </w:numPr>
        <w:spacing w:after="69"/>
        <w:ind w:hanging="442"/>
      </w:pPr>
      <w:r>
        <w:t>監査の期間</w:t>
      </w:r>
      <w:r>
        <w:t xml:space="preserve"> </w:t>
      </w:r>
    </w:p>
    <w:p w:rsidR="0061405E" w:rsidRDefault="002329AA">
      <w:pPr>
        <w:spacing w:after="69"/>
        <w:ind w:left="-5"/>
      </w:pPr>
      <w:r>
        <w:t xml:space="preserve">  </w:t>
      </w:r>
      <w:r>
        <w:t>平成</w:t>
      </w:r>
      <w:r>
        <w:t>27</w:t>
      </w:r>
      <w:r>
        <w:t>年４月３日から平成</w:t>
      </w:r>
      <w:r>
        <w:t>29</w:t>
      </w:r>
      <w:r>
        <w:t>年２月</w:t>
      </w:r>
      <w:r>
        <w:t>27</w:t>
      </w:r>
      <w:r>
        <w:t>日まで</w:t>
      </w:r>
      <w:r>
        <w:t xml:space="preserve"> </w:t>
      </w:r>
    </w:p>
    <w:p w:rsidR="0061405E" w:rsidRDefault="002329AA">
      <w:pPr>
        <w:spacing w:after="69"/>
        <w:ind w:left="0" w:firstLine="0"/>
      </w:pPr>
      <w:r>
        <w:t xml:space="preserve"> </w:t>
      </w:r>
    </w:p>
    <w:p w:rsidR="0061405E" w:rsidRDefault="002329AA">
      <w:pPr>
        <w:numPr>
          <w:ilvl w:val="0"/>
          <w:numId w:val="1"/>
        </w:numPr>
        <w:spacing w:after="69"/>
        <w:ind w:hanging="442"/>
      </w:pPr>
      <w:r>
        <w:t>監査の方法</w:t>
      </w:r>
      <w:r>
        <w:t xml:space="preserve"> </w:t>
      </w:r>
    </w:p>
    <w:p w:rsidR="0061405E" w:rsidRDefault="002329AA">
      <w:pPr>
        <w:spacing w:line="321" w:lineRule="auto"/>
        <w:ind w:left="206" w:hanging="221"/>
      </w:pPr>
      <w:r>
        <w:t xml:space="preserve">  </w:t>
      </w:r>
      <w:r>
        <w:t>定例監査に併せて実施し、全部局に「準公金の管理状況に係る調査票」及び関係書類の提出を求めて監査を行った。また、現金、預金通帳等の保管状況について、担当書記による現地確認も行った。</w:t>
      </w:r>
      <w:r>
        <w:t xml:space="preserve"> </w:t>
      </w:r>
    </w:p>
    <w:p w:rsidR="0061405E" w:rsidRDefault="002329AA">
      <w:pPr>
        <w:spacing w:after="69"/>
        <w:ind w:left="0" w:firstLine="0"/>
      </w:pPr>
      <w:r>
        <w:t xml:space="preserve"> </w:t>
      </w:r>
    </w:p>
    <w:p w:rsidR="009069CD" w:rsidRDefault="009069CD">
      <w:pPr>
        <w:spacing w:after="69"/>
        <w:ind w:left="0" w:firstLine="0"/>
      </w:pPr>
      <w:bookmarkStart w:id="0" w:name="_GoBack"/>
      <w:bookmarkEnd w:id="0"/>
    </w:p>
    <w:p w:rsidR="0061405E" w:rsidRDefault="002329AA">
      <w:pPr>
        <w:numPr>
          <w:ilvl w:val="0"/>
          <w:numId w:val="1"/>
        </w:numPr>
        <w:spacing w:after="69"/>
        <w:ind w:hanging="442"/>
      </w:pPr>
      <w:r>
        <w:lastRenderedPageBreak/>
        <w:t>監査の着眼点</w:t>
      </w:r>
      <w:r>
        <w:t xml:space="preserve"> </w:t>
      </w:r>
    </w:p>
    <w:p w:rsidR="0061405E" w:rsidRDefault="002329AA">
      <w:pPr>
        <w:ind w:left="-5"/>
      </w:pPr>
      <w:r>
        <w:t xml:space="preserve">  </w:t>
      </w:r>
      <w:r>
        <w:t>準公金について、次の項目を着眼点として監査を実施した。</w:t>
      </w:r>
      <w:r>
        <w:t xml:space="preserve"> </w:t>
      </w:r>
    </w:p>
    <w:p w:rsidR="0061405E" w:rsidRDefault="002329AA">
      <w:pPr>
        <w:numPr>
          <w:ilvl w:val="0"/>
          <w:numId w:val="2"/>
        </w:numPr>
        <w:spacing w:after="94"/>
        <w:ind w:hanging="360"/>
      </w:pPr>
      <w:r>
        <w:t>出納事務は適切に行われているか。</w:t>
      </w:r>
      <w:r>
        <w:t xml:space="preserve"> </w:t>
      </w:r>
    </w:p>
    <w:p w:rsidR="0061405E" w:rsidRDefault="002329AA">
      <w:pPr>
        <w:numPr>
          <w:ilvl w:val="0"/>
          <w:numId w:val="2"/>
        </w:numPr>
        <w:spacing w:after="94"/>
        <w:ind w:hanging="360"/>
      </w:pPr>
      <w:r>
        <w:t>現金、預金通帳、届出印は適切に管理されているか。</w:t>
      </w:r>
      <w:r>
        <w:t xml:space="preserve"> </w:t>
      </w:r>
    </w:p>
    <w:p w:rsidR="0061405E" w:rsidRDefault="002329AA">
      <w:pPr>
        <w:numPr>
          <w:ilvl w:val="0"/>
          <w:numId w:val="2"/>
        </w:numPr>
        <w:spacing w:after="84"/>
        <w:ind w:hanging="360"/>
      </w:pPr>
      <w:r>
        <w:t>上記事務のチェック体</w:t>
      </w:r>
      <w:r>
        <w:t>制は整備されているか。</w:t>
      </w:r>
      <w:r>
        <w:t xml:space="preserve"> </w:t>
      </w:r>
    </w:p>
    <w:p w:rsidR="0061405E" w:rsidRDefault="002329AA">
      <w:pPr>
        <w:spacing w:after="69"/>
        <w:ind w:left="0" w:firstLine="0"/>
      </w:pPr>
      <w:r>
        <w:t xml:space="preserve"> </w:t>
      </w:r>
    </w:p>
    <w:p w:rsidR="0061405E" w:rsidRDefault="002329AA">
      <w:pPr>
        <w:spacing w:after="69"/>
        <w:ind w:left="-5"/>
      </w:pPr>
      <w:r>
        <w:t>７</w:t>
      </w:r>
      <w:r>
        <w:t xml:space="preserve"> </w:t>
      </w:r>
      <w:r>
        <w:t>監査の結果</w:t>
      </w:r>
      <w:r>
        <w:t xml:space="preserve"> </w:t>
      </w:r>
    </w:p>
    <w:p w:rsidR="0061405E" w:rsidRDefault="002329AA">
      <w:pPr>
        <w:spacing w:line="321" w:lineRule="auto"/>
        <w:ind w:left="424" w:hanging="439"/>
      </w:pPr>
      <w:r>
        <w:t xml:space="preserve">   </w:t>
      </w:r>
      <w:r>
        <w:t>今回の監査の結果、準公金の出納、管理等の事務について概ね適切に処理されていたが、一部で不適切な事案が見受けられたので、その都度対象となる部局長に講評として提示した。</w:t>
      </w:r>
      <w:r>
        <w:t xml:space="preserve"> </w:t>
      </w:r>
    </w:p>
    <w:p w:rsidR="0061405E" w:rsidRDefault="002329AA">
      <w:pPr>
        <w:spacing w:after="79"/>
        <w:ind w:left="0" w:firstLine="0"/>
      </w:pPr>
      <w:r>
        <w:t xml:space="preserve"> </w:t>
      </w:r>
    </w:p>
    <w:p w:rsidR="0061405E" w:rsidRDefault="002329AA">
      <w:pPr>
        <w:spacing w:after="93"/>
        <w:ind w:left="116"/>
      </w:pPr>
      <w:r>
        <w:t>(1)</w:t>
      </w:r>
      <w:r>
        <w:rPr>
          <w:rFonts w:ascii="Arial" w:eastAsia="Arial" w:hAnsi="Arial" w:cs="Arial"/>
        </w:rPr>
        <w:t xml:space="preserve"> </w:t>
      </w:r>
      <w:r>
        <w:t xml:space="preserve"> </w:t>
      </w:r>
      <w:r>
        <w:t>準公金を管理している団体について</w:t>
      </w:r>
      <w:r>
        <w:t xml:space="preserve"> </w:t>
      </w:r>
    </w:p>
    <w:p w:rsidR="0061405E" w:rsidRDefault="002329AA">
      <w:pPr>
        <w:numPr>
          <w:ilvl w:val="0"/>
          <w:numId w:val="3"/>
        </w:numPr>
        <w:spacing w:after="83"/>
        <w:ind w:hanging="425"/>
      </w:pPr>
      <w:r>
        <w:t>団体数</w:t>
      </w:r>
      <w:r>
        <w:t xml:space="preserve"> </w:t>
      </w:r>
    </w:p>
    <w:p w:rsidR="0061405E" w:rsidRDefault="002329AA">
      <w:pPr>
        <w:spacing w:line="321" w:lineRule="auto"/>
        <w:ind w:left="420" w:firstLine="221"/>
      </w:pPr>
      <w:r>
        <w:t>監査実施時点において、市職員が準公金の出納、管理等の事務に携わっている団体の総計は</w:t>
      </w:r>
      <w:r>
        <w:t>253</w:t>
      </w:r>
      <w:r>
        <w:t>件であった。</w:t>
      </w:r>
      <w:r>
        <w:t xml:space="preserve"> </w:t>
      </w:r>
    </w:p>
    <w:p w:rsidR="0061405E" w:rsidRDefault="002329AA">
      <w:pPr>
        <w:spacing w:after="0"/>
        <w:ind w:left="626"/>
      </w:pPr>
      <w:r>
        <w:rPr>
          <w:sz w:val="21"/>
        </w:rPr>
        <w:t>部局別団体数</w:t>
      </w:r>
      <w:r>
        <w:rPr>
          <w:sz w:val="21"/>
        </w:rPr>
        <w:t xml:space="preserve"> </w:t>
      </w:r>
    </w:p>
    <w:tbl>
      <w:tblPr>
        <w:tblStyle w:val="TableGrid"/>
        <w:tblW w:w="6950" w:type="dxa"/>
        <w:tblInd w:w="708" w:type="dxa"/>
        <w:tblCellMar>
          <w:top w:w="80" w:type="dxa"/>
          <w:left w:w="108" w:type="dxa"/>
          <w:bottom w:w="0" w:type="dxa"/>
          <w:right w:w="2" w:type="dxa"/>
        </w:tblCellMar>
        <w:tblLook w:val="04A0" w:firstRow="1" w:lastRow="0" w:firstColumn="1" w:lastColumn="0" w:noHBand="0" w:noVBand="1"/>
      </w:tblPr>
      <w:tblGrid>
        <w:gridCol w:w="2413"/>
        <w:gridCol w:w="1275"/>
        <w:gridCol w:w="1985"/>
        <w:gridCol w:w="1277"/>
      </w:tblGrid>
      <w:tr w:rsidR="0061405E">
        <w:trPr>
          <w:trHeight w:val="370"/>
        </w:trPr>
        <w:tc>
          <w:tcPr>
            <w:tcW w:w="2413"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109" w:firstLine="0"/>
              <w:jc w:val="center"/>
            </w:pPr>
            <w:r>
              <w:rPr>
                <w:sz w:val="21"/>
              </w:rPr>
              <w:t>部局名</w:t>
            </w:r>
            <w:r>
              <w:rPr>
                <w:sz w:val="21"/>
              </w:rPr>
              <w:t xml:space="preserve"> </w:t>
            </w:r>
          </w:p>
        </w:tc>
        <w:tc>
          <w:tcPr>
            <w:tcW w:w="1275" w:type="dxa"/>
            <w:tcBorders>
              <w:top w:val="single" w:sz="4" w:space="0" w:color="000000"/>
              <w:left w:val="single" w:sz="4" w:space="0" w:color="000000"/>
              <w:bottom w:val="single" w:sz="4" w:space="0" w:color="000000"/>
              <w:right w:val="double" w:sz="4" w:space="0" w:color="000000"/>
            </w:tcBorders>
          </w:tcPr>
          <w:p w:rsidR="0061405E" w:rsidRDefault="002329AA">
            <w:pPr>
              <w:spacing w:after="0"/>
              <w:ind w:left="211" w:firstLine="0"/>
            </w:pPr>
            <w:r>
              <w:rPr>
                <w:sz w:val="21"/>
              </w:rPr>
              <w:t>団体数</w:t>
            </w:r>
            <w:r>
              <w:rPr>
                <w:sz w:val="21"/>
              </w:rPr>
              <w:t xml:space="preserve"> </w:t>
            </w:r>
          </w:p>
        </w:tc>
        <w:tc>
          <w:tcPr>
            <w:tcW w:w="1985" w:type="dxa"/>
            <w:tcBorders>
              <w:top w:val="single" w:sz="4" w:space="0" w:color="000000"/>
              <w:left w:val="double" w:sz="4" w:space="0" w:color="000000"/>
              <w:bottom w:val="single" w:sz="4" w:space="0" w:color="000000"/>
              <w:right w:val="single" w:sz="4" w:space="0" w:color="000000"/>
            </w:tcBorders>
          </w:tcPr>
          <w:p w:rsidR="0061405E" w:rsidRDefault="002329AA">
            <w:pPr>
              <w:spacing w:after="0"/>
              <w:ind w:left="0" w:right="103" w:firstLine="0"/>
              <w:jc w:val="center"/>
            </w:pPr>
            <w:r>
              <w:rPr>
                <w:sz w:val="21"/>
              </w:rPr>
              <w:t>部局名</w:t>
            </w:r>
            <w:r>
              <w:rPr>
                <w:sz w:val="21"/>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214" w:firstLine="0"/>
            </w:pPr>
            <w:r>
              <w:rPr>
                <w:sz w:val="21"/>
              </w:rPr>
              <w:t>団体数</w:t>
            </w:r>
            <w:r>
              <w:rPr>
                <w:sz w:val="21"/>
              </w:rPr>
              <w:t xml:space="preserve"> </w:t>
            </w:r>
          </w:p>
        </w:tc>
      </w:tr>
      <w:tr w:rsidR="0061405E">
        <w:trPr>
          <w:trHeight w:val="370"/>
        </w:trPr>
        <w:tc>
          <w:tcPr>
            <w:tcW w:w="2413"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firstLine="0"/>
            </w:pPr>
            <w:r>
              <w:rPr>
                <w:sz w:val="21"/>
              </w:rPr>
              <w:t>経営企画部</w:t>
            </w:r>
            <w:r>
              <w:rPr>
                <w:sz w:val="21"/>
              </w:rPr>
              <w:t xml:space="preserve"> </w:t>
            </w:r>
          </w:p>
        </w:tc>
        <w:tc>
          <w:tcPr>
            <w:tcW w:w="1275" w:type="dxa"/>
            <w:tcBorders>
              <w:top w:val="single" w:sz="4" w:space="0" w:color="000000"/>
              <w:left w:val="single" w:sz="4" w:space="0" w:color="000000"/>
              <w:bottom w:val="single" w:sz="4" w:space="0" w:color="000000"/>
              <w:right w:val="double" w:sz="4" w:space="0" w:color="000000"/>
            </w:tcBorders>
          </w:tcPr>
          <w:p w:rsidR="0061405E" w:rsidRDefault="002329AA">
            <w:pPr>
              <w:spacing w:after="0"/>
              <w:ind w:left="0" w:right="106" w:firstLine="0"/>
              <w:jc w:val="right"/>
            </w:pPr>
            <w:r>
              <w:rPr>
                <w:sz w:val="21"/>
              </w:rPr>
              <w:t>６</w:t>
            </w:r>
            <w:r>
              <w:rPr>
                <w:sz w:val="21"/>
              </w:rPr>
              <w:t xml:space="preserve"> </w:t>
            </w:r>
          </w:p>
        </w:tc>
        <w:tc>
          <w:tcPr>
            <w:tcW w:w="1985" w:type="dxa"/>
            <w:tcBorders>
              <w:top w:val="single" w:sz="4" w:space="0" w:color="000000"/>
              <w:left w:val="double" w:sz="4" w:space="0" w:color="000000"/>
              <w:bottom w:val="single" w:sz="4" w:space="0" w:color="000000"/>
              <w:right w:val="single" w:sz="4" w:space="0" w:color="000000"/>
            </w:tcBorders>
          </w:tcPr>
          <w:p w:rsidR="0061405E" w:rsidRDefault="002329AA">
            <w:pPr>
              <w:spacing w:after="0"/>
              <w:ind w:left="0" w:firstLine="0"/>
            </w:pPr>
            <w:r>
              <w:rPr>
                <w:sz w:val="21"/>
              </w:rPr>
              <w:t>会計課</w:t>
            </w:r>
            <w:r>
              <w:rPr>
                <w:sz w:val="21"/>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106" w:firstLine="0"/>
              <w:jc w:val="right"/>
            </w:pPr>
            <w:r>
              <w:rPr>
                <w:sz w:val="21"/>
              </w:rPr>
              <w:t>０</w:t>
            </w:r>
            <w:r>
              <w:rPr>
                <w:sz w:val="21"/>
              </w:rPr>
              <w:t xml:space="preserve"> </w:t>
            </w:r>
          </w:p>
        </w:tc>
      </w:tr>
      <w:tr w:rsidR="0061405E">
        <w:trPr>
          <w:trHeight w:val="370"/>
        </w:trPr>
        <w:tc>
          <w:tcPr>
            <w:tcW w:w="2413"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firstLine="0"/>
            </w:pPr>
            <w:r>
              <w:rPr>
                <w:sz w:val="21"/>
              </w:rPr>
              <w:t>総務部</w:t>
            </w:r>
            <w:r>
              <w:rPr>
                <w:sz w:val="21"/>
              </w:rPr>
              <w:t xml:space="preserve"> </w:t>
            </w:r>
          </w:p>
        </w:tc>
        <w:tc>
          <w:tcPr>
            <w:tcW w:w="1275" w:type="dxa"/>
            <w:tcBorders>
              <w:top w:val="single" w:sz="4" w:space="0" w:color="000000"/>
              <w:left w:val="single" w:sz="4" w:space="0" w:color="000000"/>
              <w:bottom w:val="single" w:sz="4" w:space="0" w:color="000000"/>
              <w:right w:val="double" w:sz="4" w:space="0" w:color="000000"/>
            </w:tcBorders>
          </w:tcPr>
          <w:p w:rsidR="0061405E" w:rsidRDefault="002329AA">
            <w:pPr>
              <w:spacing w:after="0"/>
              <w:ind w:left="0" w:right="106" w:firstLine="0"/>
              <w:jc w:val="right"/>
            </w:pPr>
            <w:r>
              <w:rPr>
                <w:sz w:val="21"/>
              </w:rPr>
              <w:t>３</w:t>
            </w:r>
            <w:r>
              <w:rPr>
                <w:sz w:val="21"/>
              </w:rPr>
              <w:t xml:space="preserve"> </w:t>
            </w:r>
          </w:p>
        </w:tc>
        <w:tc>
          <w:tcPr>
            <w:tcW w:w="1985" w:type="dxa"/>
            <w:tcBorders>
              <w:top w:val="single" w:sz="4" w:space="0" w:color="000000"/>
              <w:left w:val="double" w:sz="4" w:space="0" w:color="000000"/>
              <w:bottom w:val="single" w:sz="4" w:space="0" w:color="000000"/>
              <w:right w:val="single" w:sz="4" w:space="0" w:color="000000"/>
            </w:tcBorders>
          </w:tcPr>
          <w:p w:rsidR="0061405E" w:rsidRDefault="002329AA">
            <w:pPr>
              <w:spacing w:after="0"/>
              <w:ind w:left="0" w:firstLine="0"/>
            </w:pPr>
            <w:r>
              <w:rPr>
                <w:sz w:val="21"/>
              </w:rPr>
              <w:t>上下水道局</w:t>
            </w:r>
            <w:r>
              <w:rPr>
                <w:sz w:val="21"/>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106" w:firstLine="0"/>
              <w:jc w:val="right"/>
            </w:pPr>
            <w:r>
              <w:rPr>
                <w:sz w:val="21"/>
              </w:rPr>
              <w:t>１</w:t>
            </w:r>
            <w:r>
              <w:rPr>
                <w:sz w:val="21"/>
              </w:rPr>
              <w:t xml:space="preserve"> </w:t>
            </w:r>
          </w:p>
        </w:tc>
      </w:tr>
      <w:tr w:rsidR="0061405E">
        <w:trPr>
          <w:trHeight w:val="370"/>
        </w:trPr>
        <w:tc>
          <w:tcPr>
            <w:tcW w:w="2413"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firstLine="0"/>
            </w:pPr>
            <w:r>
              <w:rPr>
                <w:sz w:val="21"/>
              </w:rPr>
              <w:t>産業振興部</w:t>
            </w:r>
            <w:r>
              <w:rPr>
                <w:sz w:val="21"/>
              </w:rPr>
              <w:t xml:space="preserve"> </w:t>
            </w:r>
          </w:p>
        </w:tc>
        <w:tc>
          <w:tcPr>
            <w:tcW w:w="1275" w:type="dxa"/>
            <w:tcBorders>
              <w:top w:val="single" w:sz="4" w:space="0" w:color="000000"/>
              <w:left w:val="single" w:sz="4" w:space="0" w:color="000000"/>
              <w:bottom w:val="single" w:sz="4" w:space="0" w:color="000000"/>
              <w:right w:val="double" w:sz="4" w:space="0" w:color="000000"/>
            </w:tcBorders>
          </w:tcPr>
          <w:p w:rsidR="0061405E" w:rsidRDefault="002329AA">
            <w:pPr>
              <w:spacing w:after="0"/>
              <w:ind w:left="0" w:right="104" w:firstLine="0"/>
              <w:jc w:val="right"/>
            </w:pPr>
            <w:r>
              <w:rPr>
                <w:sz w:val="21"/>
              </w:rPr>
              <w:t>１４</w:t>
            </w:r>
            <w:r>
              <w:rPr>
                <w:sz w:val="21"/>
              </w:rPr>
              <w:t xml:space="preserve"> </w:t>
            </w:r>
          </w:p>
        </w:tc>
        <w:tc>
          <w:tcPr>
            <w:tcW w:w="1985" w:type="dxa"/>
            <w:tcBorders>
              <w:top w:val="single" w:sz="4" w:space="0" w:color="000000"/>
              <w:left w:val="double" w:sz="4" w:space="0" w:color="000000"/>
              <w:bottom w:val="single" w:sz="4" w:space="0" w:color="000000"/>
              <w:right w:val="single" w:sz="4" w:space="0" w:color="000000"/>
            </w:tcBorders>
          </w:tcPr>
          <w:p w:rsidR="0061405E" w:rsidRDefault="002329AA">
            <w:pPr>
              <w:spacing w:after="0"/>
              <w:ind w:left="0" w:firstLine="0"/>
            </w:pPr>
            <w:r>
              <w:rPr>
                <w:sz w:val="21"/>
              </w:rPr>
              <w:t>消防本部</w:t>
            </w:r>
            <w:r>
              <w:rPr>
                <w:sz w:val="21"/>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106" w:firstLine="0"/>
              <w:jc w:val="right"/>
            </w:pPr>
            <w:r>
              <w:rPr>
                <w:sz w:val="21"/>
              </w:rPr>
              <w:t>２</w:t>
            </w:r>
            <w:r>
              <w:rPr>
                <w:sz w:val="21"/>
              </w:rPr>
              <w:t xml:space="preserve"> </w:t>
            </w:r>
          </w:p>
        </w:tc>
      </w:tr>
      <w:tr w:rsidR="0061405E">
        <w:trPr>
          <w:trHeight w:val="372"/>
        </w:trPr>
        <w:tc>
          <w:tcPr>
            <w:tcW w:w="2413"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firstLine="0"/>
            </w:pPr>
            <w:r>
              <w:rPr>
                <w:sz w:val="21"/>
              </w:rPr>
              <w:t>市民生活部</w:t>
            </w:r>
            <w:r>
              <w:rPr>
                <w:sz w:val="21"/>
              </w:rPr>
              <w:t xml:space="preserve"> </w:t>
            </w:r>
          </w:p>
        </w:tc>
        <w:tc>
          <w:tcPr>
            <w:tcW w:w="1275" w:type="dxa"/>
            <w:tcBorders>
              <w:top w:val="single" w:sz="4" w:space="0" w:color="000000"/>
              <w:left w:val="single" w:sz="4" w:space="0" w:color="000000"/>
              <w:bottom w:val="single" w:sz="4" w:space="0" w:color="000000"/>
              <w:right w:val="double" w:sz="4" w:space="0" w:color="000000"/>
            </w:tcBorders>
          </w:tcPr>
          <w:p w:rsidR="0061405E" w:rsidRDefault="002329AA">
            <w:pPr>
              <w:spacing w:after="0"/>
              <w:ind w:left="0" w:right="104" w:firstLine="0"/>
              <w:jc w:val="right"/>
            </w:pPr>
            <w:r>
              <w:rPr>
                <w:sz w:val="21"/>
              </w:rPr>
              <w:t>３９</w:t>
            </w:r>
            <w:r>
              <w:rPr>
                <w:sz w:val="21"/>
              </w:rPr>
              <w:t xml:space="preserve"> </w:t>
            </w:r>
          </w:p>
        </w:tc>
        <w:tc>
          <w:tcPr>
            <w:tcW w:w="1985" w:type="dxa"/>
            <w:tcBorders>
              <w:top w:val="single" w:sz="4" w:space="0" w:color="000000"/>
              <w:left w:val="double" w:sz="4" w:space="0" w:color="000000"/>
              <w:bottom w:val="single" w:sz="4" w:space="0" w:color="000000"/>
              <w:right w:val="single" w:sz="4" w:space="0" w:color="000000"/>
            </w:tcBorders>
          </w:tcPr>
          <w:p w:rsidR="0061405E" w:rsidRDefault="002329AA">
            <w:pPr>
              <w:spacing w:after="0"/>
              <w:ind w:left="0" w:firstLine="0"/>
            </w:pPr>
            <w:r>
              <w:rPr>
                <w:sz w:val="21"/>
              </w:rPr>
              <w:t>教育委員会</w:t>
            </w:r>
            <w:r>
              <w:rPr>
                <w:sz w:val="21"/>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103" w:firstLine="0"/>
              <w:jc w:val="right"/>
            </w:pPr>
            <w:r>
              <w:rPr>
                <w:sz w:val="21"/>
              </w:rPr>
              <w:t>１４７</w:t>
            </w:r>
            <w:r>
              <w:rPr>
                <w:sz w:val="21"/>
              </w:rPr>
              <w:t xml:space="preserve"> </w:t>
            </w:r>
          </w:p>
        </w:tc>
      </w:tr>
      <w:tr w:rsidR="0061405E">
        <w:trPr>
          <w:trHeight w:val="370"/>
        </w:trPr>
        <w:tc>
          <w:tcPr>
            <w:tcW w:w="2413"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firstLine="0"/>
            </w:pPr>
            <w:r>
              <w:rPr>
                <w:sz w:val="21"/>
              </w:rPr>
              <w:t>福祉保健部</w:t>
            </w:r>
            <w:r>
              <w:rPr>
                <w:sz w:val="21"/>
              </w:rPr>
              <w:t xml:space="preserve"> </w:t>
            </w:r>
          </w:p>
        </w:tc>
        <w:tc>
          <w:tcPr>
            <w:tcW w:w="1275" w:type="dxa"/>
            <w:tcBorders>
              <w:top w:val="single" w:sz="4" w:space="0" w:color="000000"/>
              <w:left w:val="single" w:sz="4" w:space="0" w:color="000000"/>
              <w:bottom w:val="single" w:sz="4" w:space="0" w:color="000000"/>
              <w:right w:val="double" w:sz="4" w:space="0" w:color="000000"/>
            </w:tcBorders>
          </w:tcPr>
          <w:p w:rsidR="0061405E" w:rsidRDefault="002329AA">
            <w:pPr>
              <w:spacing w:after="0"/>
              <w:ind w:left="0" w:right="104" w:firstLine="0"/>
              <w:jc w:val="right"/>
            </w:pPr>
            <w:r>
              <w:rPr>
                <w:sz w:val="21"/>
              </w:rPr>
              <w:t>１４</w:t>
            </w:r>
            <w:r>
              <w:rPr>
                <w:sz w:val="21"/>
              </w:rPr>
              <w:t xml:space="preserve"> </w:t>
            </w:r>
          </w:p>
        </w:tc>
        <w:tc>
          <w:tcPr>
            <w:tcW w:w="1985" w:type="dxa"/>
            <w:tcBorders>
              <w:top w:val="single" w:sz="4" w:space="0" w:color="000000"/>
              <w:left w:val="double" w:sz="4" w:space="0" w:color="000000"/>
              <w:bottom w:val="single" w:sz="4" w:space="0" w:color="000000"/>
              <w:right w:val="single" w:sz="4" w:space="0" w:color="000000"/>
            </w:tcBorders>
          </w:tcPr>
          <w:p w:rsidR="0061405E" w:rsidRDefault="002329AA">
            <w:pPr>
              <w:spacing w:after="0"/>
              <w:ind w:left="0" w:firstLine="0"/>
            </w:pPr>
            <w:r>
              <w:rPr>
                <w:sz w:val="21"/>
              </w:rPr>
              <w:t>議会事務局</w:t>
            </w:r>
            <w:r>
              <w:rPr>
                <w:sz w:val="21"/>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106" w:firstLine="0"/>
              <w:jc w:val="right"/>
            </w:pPr>
            <w:r>
              <w:rPr>
                <w:sz w:val="21"/>
              </w:rPr>
              <w:t>１</w:t>
            </w:r>
            <w:r>
              <w:rPr>
                <w:sz w:val="21"/>
              </w:rPr>
              <w:t xml:space="preserve"> </w:t>
            </w:r>
          </w:p>
        </w:tc>
      </w:tr>
      <w:tr w:rsidR="0061405E">
        <w:trPr>
          <w:trHeight w:val="370"/>
        </w:trPr>
        <w:tc>
          <w:tcPr>
            <w:tcW w:w="2413"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firstLine="0"/>
            </w:pPr>
            <w:r>
              <w:rPr>
                <w:sz w:val="21"/>
              </w:rPr>
              <w:t>都市創造部</w:t>
            </w:r>
            <w:r>
              <w:rPr>
                <w:sz w:val="21"/>
              </w:rPr>
              <w:t xml:space="preserve"> </w:t>
            </w:r>
          </w:p>
        </w:tc>
        <w:tc>
          <w:tcPr>
            <w:tcW w:w="1275" w:type="dxa"/>
            <w:tcBorders>
              <w:top w:val="single" w:sz="4" w:space="0" w:color="000000"/>
              <w:left w:val="single" w:sz="4" w:space="0" w:color="000000"/>
              <w:bottom w:val="single" w:sz="4" w:space="0" w:color="000000"/>
              <w:right w:val="double" w:sz="4" w:space="0" w:color="000000"/>
            </w:tcBorders>
          </w:tcPr>
          <w:p w:rsidR="0061405E" w:rsidRDefault="002329AA">
            <w:pPr>
              <w:spacing w:after="0"/>
              <w:ind w:left="0" w:right="104" w:firstLine="0"/>
              <w:jc w:val="right"/>
            </w:pPr>
            <w:r>
              <w:rPr>
                <w:sz w:val="21"/>
              </w:rPr>
              <w:t>１７</w:t>
            </w:r>
            <w:r>
              <w:rPr>
                <w:sz w:val="21"/>
              </w:rPr>
              <w:t xml:space="preserve"> </w:t>
            </w:r>
          </w:p>
        </w:tc>
        <w:tc>
          <w:tcPr>
            <w:tcW w:w="1985" w:type="dxa"/>
            <w:tcBorders>
              <w:top w:val="single" w:sz="4" w:space="0" w:color="000000"/>
              <w:left w:val="double" w:sz="4" w:space="0" w:color="000000"/>
              <w:bottom w:val="single" w:sz="4" w:space="0" w:color="000000"/>
              <w:right w:val="single" w:sz="4" w:space="0" w:color="000000"/>
            </w:tcBorders>
          </w:tcPr>
          <w:p w:rsidR="0061405E" w:rsidRDefault="002329AA">
            <w:pPr>
              <w:spacing w:after="0"/>
              <w:ind w:left="0" w:firstLine="0"/>
            </w:pPr>
            <w:r>
              <w:rPr>
                <w:sz w:val="21"/>
              </w:rPr>
              <w:t>農業員会事務局</w:t>
            </w:r>
            <w:r>
              <w:rPr>
                <w:sz w:val="21"/>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106" w:firstLine="0"/>
              <w:jc w:val="right"/>
            </w:pPr>
            <w:r>
              <w:rPr>
                <w:sz w:val="21"/>
              </w:rPr>
              <w:t>１</w:t>
            </w:r>
            <w:r>
              <w:rPr>
                <w:sz w:val="21"/>
              </w:rPr>
              <w:t xml:space="preserve"> </w:t>
            </w:r>
          </w:p>
        </w:tc>
      </w:tr>
      <w:tr w:rsidR="0061405E">
        <w:trPr>
          <w:trHeight w:val="370"/>
        </w:trPr>
        <w:tc>
          <w:tcPr>
            <w:tcW w:w="2413"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firstLine="0"/>
              <w:jc w:val="both"/>
            </w:pPr>
            <w:r>
              <w:rPr>
                <w:sz w:val="21"/>
              </w:rPr>
              <w:t>福岡総合行政センター</w:t>
            </w:r>
            <w:r>
              <w:rPr>
                <w:sz w:val="21"/>
              </w:rPr>
              <w:t xml:space="preserve"> </w:t>
            </w:r>
          </w:p>
        </w:tc>
        <w:tc>
          <w:tcPr>
            <w:tcW w:w="1275" w:type="dxa"/>
            <w:tcBorders>
              <w:top w:val="single" w:sz="4" w:space="0" w:color="000000"/>
              <w:left w:val="single" w:sz="4" w:space="0" w:color="000000"/>
              <w:bottom w:val="single" w:sz="4" w:space="0" w:color="000000"/>
              <w:right w:val="double" w:sz="4" w:space="0" w:color="000000"/>
            </w:tcBorders>
          </w:tcPr>
          <w:p w:rsidR="0061405E" w:rsidRDefault="002329AA">
            <w:pPr>
              <w:spacing w:after="0"/>
              <w:ind w:left="0" w:right="106" w:firstLine="0"/>
              <w:jc w:val="right"/>
            </w:pPr>
            <w:r>
              <w:rPr>
                <w:sz w:val="21"/>
              </w:rPr>
              <w:t>８</w:t>
            </w:r>
            <w:r>
              <w:rPr>
                <w:sz w:val="21"/>
              </w:rPr>
              <w:t xml:space="preserve"> </w:t>
            </w:r>
          </w:p>
        </w:tc>
        <w:tc>
          <w:tcPr>
            <w:tcW w:w="1985" w:type="dxa"/>
            <w:tcBorders>
              <w:top w:val="single" w:sz="4" w:space="0" w:color="000000"/>
              <w:left w:val="double" w:sz="4" w:space="0" w:color="000000"/>
              <w:bottom w:val="single" w:sz="4" w:space="0" w:color="000000"/>
              <w:right w:val="single" w:sz="4" w:space="0" w:color="000000"/>
            </w:tcBorders>
          </w:tcPr>
          <w:p w:rsidR="0061405E" w:rsidRDefault="002329AA">
            <w:pPr>
              <w:spacing w:after="0"/>
              <w:ind w:left="0" w:firstLine="0"/>
            </w:pPr>
            <w:r>
              <w:rPr>
                <w:sz w:val="21"/>
              </w:rPr>
              <w:t>監査委員事務局</w:t>
            </w:r>
            <w:r>
              <w:rPr>
                <w:sz w:val="21"/>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106" w:firstLine="0"/>
              <w:jc w:val="right"/>
            </w:pPr>
            <w:r>
              <w:rPr>
                <w:sz w:val="21"/>
              </w:rPr>
              <w:t>０</w:t>
            </w:r>
            <w:r>
              <w:rPr>
                <w:sz w:val="21"/>
              </w:rPr>
              <w:t xml:space="preserve"> </w:t>
            </w:r>
          </w:p>
        </w:tc>
      </w:tr>
      <w:tr w:rsidR="0061405E">
        <w:trPr>
          <w:trHeight w:val="370"/>
        </w:trPr>
        <w:tc>
          <w:tcPr>
            <w:tcW w:w="2413"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firstLine="0"/>
            </w:pPr>
            <w:r>
              <w:rPr>
                <w:sz w:val="21"/>
              </w:rPr>
              <w:t>市民病院</w:t>
            </w:r>
            <w:r>
              <w:rPr>
                <w:sz w:val="21"/>
              </w:rPr>
              <w:t xml:space="preserve"> </w:t>
            </w:r>
          </w:p>
        </w:tc>
        <w:tc>
          <w:tcPr>
            <w:tcW w:w="1275" w:type="dxa"/>
            <w:tcBorders>
              <w:top w:val="single" w:sz="4" w:space="0" w:color="000000"/>
              <w:left w:val="single" w:sz="4" w:space="0" w:color="000000"/>
              <w:bottom w:val="single" w:sz="4" w:space="0" w:color="000000"/>
              <w:right w:val="double" w:sz="4" w:space="0" w:color="000000"/>
            </w:tcBorders>
          </w:tcPr>
          <w:p w:rsidR="0061405E" w:rsidRDefault="002329AA">
            <w:pPr>
              <w:spacing w:after="0"/>
              <w:ind w:left="0" w:right="106" w:firstLine="0"/>
              <w:jc w:val="right"/>
            </w:pPr>
            <w:r>
              <w:rPr>
                <w:sz w:val="21"/>
              </w:rPr>
              <w:t>０</w:t>
            </w:r>
            <w:r>
              <w:rPr>
                <w:sz w:val="21"/>
              </w:rPr>
              <w:t xml:space="preserve"> </w:t>
            </w:r>
          </w:p>
        </w:tc>
        <w:tc>
          <w:tcPr>
            <w:tcW w:w="1985" w:type="dxa"/>
            <w:tcBorders>
              <w:top w:val="single" w:sz="4" w:space="0" w:color="000000"/>
              <w:left w:val="double" w:sz="4" w:space="0" w:color="000000"/>
              <w:bottom w:val="single" w:sz="4" w:space="0" w:color="000000"/>
              <w:right w:val="single" w:sz="4" w:space="0" w:color="000000"/>
            </w:tcBorders>
          </w:tcPr>
          <w:p w:rsidR="0061405E" w:rsidRDefault="002329AA">
            <w:pPr>
              <w:spacing w:after="0"/>
              <w:ind w:left="0" w:right="103" w:firstLine="0"/>
              <w:jc w:val="center"/>
            </w:pPr>
            <w:r>
              <w:rPr>
                <w:sz w:val="21"/>
              </w:rPr>
              <w:t>合</w:t>
            </w:r>
            <w:r>
              <w:rPr>
                <w:sz w:val="21"/>
              </w:rPr>
              <w:t xml:space="preserve"> </w:t>
            </w:r>
            <w:r>
              <w:rPr>
                <w:sz w:val="21"/>
              </w:rPr>
              <w:t>計</w:t>
            </w:r>
            <w:r>
              <w:rPr>
                <w:sz w:val="21"/>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103" w:firstLine="0"/>
              <w:jc w:val="right"/>
            </w:pPr>
            <w:r>
              <w:rPr>
                <w:sz w:val="21"/>
              </w:rPr>
              <w:t>２５３</w:t>
            </w:r>
            <w:r>
              <w:rPr>
                <w:sz w:val="21"/>
              </w:rPr>
              <w:t xml:space="preserve"> </w:t>
            </w:r>
          </w:p>
        </w:tc>
      </w:tr>
    </w:tbl>
    <w:p w:rsidR="0061405E" w:rsidRDefault="002329AA">
      <w:pPr>
        <w:spacing w:after="82"/>
      </w:pPr>
      <w:r>
        <w:rPr>
          <w:sz w:val="21"/>
        </w:rPr>
        <w:t xml:space="preserve">   ※</w:t>
      </w:r>
      <w:r>
        <w:rPr>
          <w:sz w:val="21"/>
        </w:rPr>
        <w:t>団体数は、監査対象年度の平成</w:t>
      </w:r>
      <w:r>
        <w:rPr>
          <w:sz w:val="21"/>
        </w:rPr>
        <w:t>26</w:t>
      </w:r>
      <w:r>
        <w:rPr>
          <w:sz w:val="21"/>
        </w:rPr>
        <w:t>、</w:t>
      </w:r>
      <w:r>
        <w:rPr>
          <w:sz w:val="21"/>
        </w:rPr>
        <w:t>27</w:t>
      </w:r>
      <w:r>
        <w:rPr>
          <w:sz w:val="21"/>
        </w:rPr>
        <w:t>年度のもの。</w:t>
      </w:r>
      <w:r>
        <w:rPr>
          <w:sz w:val="21"/>
        </w:rPr>
        <w:t xml:space="preserve"> </w:t>
      </w:r>
    </w:p>
    <w:p w:rsidR="0061405E" w:rsidRDefault="002329AA">
      <w:pPr>
        <w:spacing w:after="0" w:line="345" w:lineRule="auto"/>
        <w:ind w:left="834" w:hanging="218"/>
      </w:pPr>
      <w:r>
        <w:rPr>
          <w:sz w:val="21"/>
        </w:rPr>
        <w:t>※</w:t>
      </w:r>
      <w:r>
        <w:rPr>
          <w:sz w:val="21"/>
        </w:rPr>
        <w:t>教育委員会と市民生活部については、小・中・支援学校（地区</w:t>
      </w:r>
      <w:r>
        <w:rPr>
          <w:sz w:val="21"/>
        </w:rPr>
        <w:t>PTA</w:t>
      </w:r>
      <w:r>
        <w:rPr>
          <w:sz w:val="21"/>
        </w:rPr>
        <w:t>等</w:t>
      </w:r>
      <w:r>
        <w:rPr>
          <w:sz w:val="21"/>
        </w:rPr>
        <w:t>53</w:t>
      </w:r>
      <w:r>
        <w:rPr>
          <w:sz w:val="21"/>
        </w:rPr>
        <w:t>）、市立公民館（運営協議会等</w:t>
      </w:r>
      <w:r>
        <w:rPr>
          <w:sz w:val="21"/>
        </w:rPr>
        <w:t xml:space="preserve"> 79</w:t>
      </w:r>
      <w:r>
        <w:rPr>
          <w:sz w:val="21"/>
        </w:rPr>
        <w:t>）、支所・地区連絡センター（地区連合自治会等</w:t>
      </w:r>
      <w:r>
        <w:rPr>
          <w:sz w:val="21"/>
        </w:rPr>
        <w:t xml:space="preserve"> 28</w:t>
      </w:r>
      <w:r>
        <w:rPr>
          <w:sz w:val="21"/>
        </w:rPr>
        <w:t>）</w:t>
      </w:r>
      <w:r>
        <w:rPr>
          <w:sz w:val="21"/>
        </w:rPr>
        <w:t>が関係する地域の団体を含む。</w:t>
      </w:r>
      <w:r>
        <w:rPr>
          <w:sz w:val="21"/>
        </w:rPr>
        <w:t xml:space="preserve"> </w:t>
      </w:r>
    </w:p>
    <w:p w:rsidR="0061405E" w:rsidRDefault="002329AA">
      <w:pPr>
        <w:spacing w:after="79"/>
        <w:ind w:left="0" w:firstLine="0"/>
      </w:pPr>
      <w:r>
        <w:t xml:space="preserve"> </w:t>
      </w:r>
    </w:p>
    <w:p w:rsidR="0061405E" w:rsidRDefault="002329AA">
      <w:pPr>
        <w:numPr>
          <w:ilvl w:val="0"/>
          <w:numId w:val="3"/>
        </w:numPr>
        <w:spacing w:after="84"/>
        <w:ind w:hanging="425"/>
      </w:pPr>
      <w:r>
        <w:t>設置目的別団体数</w:t>
      </w:r>
      <w:r>
        <w:t xml:space="preserve"> </w:t>
      </w:r>
    </w:p>
    <w:p w:rsidR="0061405E" w:rsidRDefault="002329AA">
      <w:pPr>
        <w:ind w:left="708" w:firstLine="221"/>
      </w:pPr>
      <w:r>
        <w:t>市職員が準公金の出納、管理等の事務に携わっている団体を設置目的別に分類すると、地域・団体との連携事業が最も多く、次にイベント事業、自治体間の連携事業となっている。</w:t>
      </w:r>
      <w:r>
        <w:t xml:space="preserve"> </w:t>
      </w:r>
    </w:p>
    <w:tbl>
      <w:tblPr>
        <w:tblStyle w:val="TableGrid"/>
        <w:tblW w:w="4537" w:type="dxa"/>
        <w:tblInd w:w="708" w:type="dxa"/>
        <w:tblCellMar>
          <w:top w:w="80" w:type="dxa"/>
          <w:left w:w="108" w:type="dxa"/>
          <w:bottom w:w="0" w:type="dxa"/>
          <w:right w:w="0" w:type="dxa"/>
        </w:tblCellMar>
        <w:tblLook w:val="04A0" w:firstRow="1" w:lastRow="0" w:firstColumn="1" w:lastColumn="0" w:noHBand="0" w:noVBand="1"/>
      </w:tblPr>
      <w:tblGrid>
        <w:gridCol w:w="2979"/>
        <w:gridCol w:w="1558"/>
      </w:tblGrid>
      <w:tr w:rsidR="0061405E">
        <w:trPr>
          <w:trHeight w:val="372"/>
        </w:trPr>
        <w:tc>
          <w:tcPr>
            <w:tcW w:w="2979"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110" w:firstLine="0"/>
              <w:jc w:val="center"/>
            </w:pPr>
            <w:r>
              <w:rPr>
                <w:sz w:val="21"/>
              </w:rPr>
              <w:lastRenderedPageBreak/>
              <w:t>分</w:t>
            </w:r>
            <w:r>
              <w:rPr>
                <w:sz w:val="21"/>
              </w:rPr>
              <w:t xml:space="preserve"> </w:t>
            </w:r>
            <w:r>
              <w:rPr>
                <w:sz w:val="21"/>
              </w:rPr>
              <w:t>類</w:t>
            </w:r>
            <w:r>
              <w:rPr>
                <w:sz w:val="21"/>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106" w:firstLine="0"/>
              <w:jc w:val="center"/>
            </w:pPr>
            <w:r>
              <w:rPr>
                <w:sz w:val="21"/>
              </w:rPr>
              <w:t>団体数</w:t>
            </w:r>
            <w:r>
              <w:rPr>
                <w:sz w:val="21"/>
              </w:rPr>
              <w:t xml:space="preserve"> </w:t>
            </w:r>
          </w:p>
        </w:tc>
      </w:tr>
      <w:tr w:rsidR="0061405E">
        <w:trPr>
          <w:trHeight w:val="370"/>
        </w:trPr>
        <w:tc>
          <w:tcPr>
            <w:tcW w:w="2979"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firstLine="0"/>
            </w:pPr>
            <w:r>
              <w:rPr>
                <w:sz w:val="21"/>
              </w:rPr>
              <w:t>イベント事業</w:t>
            </w:r>
            <w:r>
              <w:rPr>
                <w:sz w:val="21"/>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103" w:firstLine="0"/>
              <w:jc w:val="right"/>
            </w:pPr>
            <w:r>
              <w:rPr>
                <w:sz w:val="21"/>
              </w:rPr>
              <w:t>２０</w:t>
            </w:r>
            <w:r>
              <w:rPr>
                <w:sz w:val="21"/>
              </w:rPr>
              <w:t xml:space="preserve"> </w:t>
            </w:r>
          </w:p>
        </w:tc>
      </w:tr>
      <w:tr w:rsidR="0061405E">
        <w:trPr>
          <w:trHeight w:val="370"/>
        </w:trPr>
        <w:tc>
          <w:tcPr>
            <w:tcW w:w="2979"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firstLine="0"/>
            </w:pPr>
            <w:r>
              <w:rPr>
                <w:sz w:val="21"/>
              </w:rPr>
              <w:t>調査研究・研修事業</w:t>
            </w:r>
            <w:r>
              <w:rPr>
                <w:sz w:val="21"/>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106" w:firstLine="0"/>
              <w:jc w:val="right"/>
            </w:pPr>
            <w:r>
              <w:rPr>
                <w:sz w:val="21"/>
              </w:rPr>
              <w:t>７</w:t>
            </w:r>
            <w:r>
              <w:rPr>
                <w:sz w:val="21"/>
              </w:rPr>
              <w:t xml:space="preserve"> </w:t>
            </w:r>
          </w:p>
        </w:tc>
      </w:tr>
      <w:tr w:rsidR="0061405E">
        <w:trPr>
          <w:trHeight w:val="370"/>
        </w:trPr>
        <w:tc>
          <w:tcPr>
            <w:tcW w:w="2979"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firstLine="0"/>
            </w:pPr>
            <w:r>
              <w:rPr>
                <w:sz w:val="21"/>
              </w:rPr>
              <w:t>地域・団体との連携事業</w:t>
            </w:r>
            <w:r>
              <w:rPr>
                <w:sz w:val="21"/>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103" w:firstLine="0"/>
              <w:jc w:val="right"/>
            </w:pPr>
            <w:r>
              <w:rPr>
                <w:sz w:val="21"/>
              </w:rPr>
              <w:t>１８３</w:t>
            </w:r>
            <w:r>
              <w:rPr>
                <w:sz w:val="21"/>
              </w:rPr>
              <w:t xml:space="preserve"> </w:t>
            </w:r>
          </w:p>
        </w:tc>
      </w:tr>
      <w:tr w:rsidR="0061405E">
        <w:trPr>
          <w:trHeight w:val="370"/>
        </w:trPr>
        <w:tc>
          <w:tcPr>
            <w:tcW w:w="2979"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firstLine="0"/>
            </w:pPr>
            <w:r>
              <w:rPr>
                <w:sz w:val="21"/>
              </w:rPr>
              <w:t>自治体間の連携事業</w:t>
            </w:r>
            <w:r>
              <w:rPr>
                <w:sz w:val="21"/>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103" w:firstLine="0"/>
              <w:jc w:val="right"/>
            </w:pPr>
            <w:r>
              <w:rPr>
                <w:sz w:val="21"/>
              </w:rPr>
              <w:t>１８</w:t>
            </w:r>
            <w:r>
              <w:rPr>
                <w:sz w:val="21"/>
              </w:rPr>
              <w:t xml:space="preserve"> </w:t>
            </w:r>
          </w:p>
        </w:tc>
      </w:tr>
      <w:tr w:rsidR="0061405E">
        <w:trPr>
          <w:trHeight w:val="370"/>
        </w:trPr>
        <w:tc>
          <w:tcPr>
            <w:tcW w:w="2979"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firstLine="0"/>
            </w:pPr>
            <w:r>
              <w:rPr>
                <w:sz w:val="21"/>
              </w:rPr>
              <w:t>上記以外の事業</w:t>
            </w:r>
            <w:r>
              <w:rPr>
                <w:sz w:val="21"/>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103" w:firstLine="0"/>
              <w:jc w:val="right"/>
            </w:pPr>
            <w:r>
              <w:rPr>
                <w:sz w:val="21"/>
              </w:rPr>
              <w:t>２５</w:t>
            </w:r>
            <w:r>
              <w:rPr>
                <w:sz w:val="21"/>
              </w:rPr>
              <w:t xml:space="preserve"> </w:t>
            </w:r>
          </w:p>
        </w:tc>
      </w:tr>
      <w:tr w:rsidR="0061405E">
        <w:trPr>
          <w:trHeight w:val="370"/>
        </w:trPr>
        <w:tc>
          <w:tcPr>
            <w:tcW w:w="2979"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110" w:firstLine="0"/>
              <w:jc w:val="center"/>
            </w:pPr>
            <w:r>
              <w:rPr>
                <w:sz w:val="21"/>
              </w:rPr>
              <w:t>合</w:t>
            </w:r>
            <w:r>
              <w:rPr>
                <w:sz w:val="21"/>
              </w:rPr>
              <w:t xml:space="preserve"> </w:t>
            </w:r>
            <w:r>
              <w:rPr>
                <w:sz w:val="21"/>
              </w:rPr>
              <w:t>計</w:t>
            </w:r>
            <w:r>
              <w:rPr>
                <w:sz w:val="21"/>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103" w:firstLine="0"/>
              <w:jc w:val="right"/>
            </w:pPr>
            <w:r>
              <w:rPr>
                <w:sz w:val="21"/>
              </w:rPr>
              <w:t>２５３</w:t>
            </w:r>
            <w:r>
              <w:rPr>
                <w:sz w:val="21"/>
              </w:rPr>
              <w:t xml:space="preserve"> </w:t>
            </w:r>
          </w:p>
        </w:tc>
      </w:tr>
    </w:tbl>
    <w:p w:rsidR="0061405E" w:rsidRDefault="002329AA">
      <w:pPr>
        <w:spacing w:after="84"/>
        <w:ind w:left="430"/>
      </w:pPr>
      <w:r>
        <w:rPr>
          <w:sz w:val="21"/>
        </w:rPr>
        <w:t xml:space="preserve"> ※</w:t>
      </w:r>
      <w:r>
        <w:rPr>
          <w:sz w:val="21"/>
        </w:rPr>
        <w:t>各課が作成した調査票に基づき、監査委員事務局で分類したもの。</w:t>
      </w:r>
      <w:r>
        <w:rPr>
          <w:sz w:val="21"/>
        </w:rPr>
        <w:t xml:space="preserve"> </w:t>
      </w:r>
    </w:p>
    <w:p w:rsidR="0061405E" w:rsidRDefault="002329AA">
      <w:pPr>
        <w:spacing w:after="79"/>
        <w:ind w:left="430" w:firstLine="0"/>
      </w:pPr>
      <w:r>
        <w:t xml:space="preserve"> </w:t>
      </w:r>
    </w:p>
    <w:p w:rsidR="0061405E" w:rsidRDefault="002329AA">
      <w:pPr>
        <w:numPr>
          <w:ilvl w:val="0"/>
          <w:numId w:val="3"/>
        </w:numPr>
        <w:spacing w:after="84"/>
        <w:ind w:hanging="425"/>
      </w:pPr>
      <w:r>
        <w:t>団体の会計規模</w:t>
      </w:r>
      <w:r>
        <w:t xml:space="preserve"> </w:t>
      </w:r>
    </w:p>
    <w:p w:rsidR="0061405E" w:rsidRDefault="002329AA">
      <w:pPr>
        <w:ind w:left="708" w:firstLine="221"/>
      </w:pPr>
      <w:r>
        <w:t>団体の規模を決算額で分類すると、</w:t>
      </w:r>
      <w:r>
        <w:t>100</w:t>
      </w:r>
      <w:r>
        <w:t>万円以上</w:t>
      </w:r>
      <w:r>
        <w:t>500</w:t>
      </w:r>
      <w:r>
        <w:t>万円未満の団体が最も多く、</w:t>
      </w:r>
      <w:r>
        <w:t>1,000</w:t>
      </w:r>
      <w:r>
        <w:t>万円以上の大きな規模のものが</w:t>
      </w:r>
      <w:r>
        <w:t>10</w:t>
      </w:r>
      <w:r>
        <w:t>団体あった。</w:t>
      </w:r>
      <w:r>
        <w:t xml:space="preserve"> </w:t>
      </w:r>
    </w:p>
    <w:tbl>
      <w:tblPr>
        <w:tblStyle w:val="TableGrid"/>
        <w:tblW w:w="7799" w:type="dxa"/>
        <w:tblInd w:w="708" w:type="dxa"/>
        <w:tblCellMar>
          <w:top w:w="80" w:type="dxa"/>
          <w:left w:w="106" w:type="dxa"/>
          <w:bottom w:w="0" w:type="dxa"/>
          <w:right w:w="20" w:type="dxa"/>
        </w:tblCellMar>
        <w:tblLook w:val="04A0" w:firstRow="1" w:lastRow="0" w:firstColumn="1" w:lastColumn="0" w:noHBand="0" w:noVBand="1"/>
      </w:tblPr>
      <w:tblGrid>
        <w:gridCol w:w="993"/>
        <w:gridCol w:w="1275"/>
        <w:gridCol w:w="1277"/>
        <w:gridCol w:w="1419"/>
        <w:gridCol w:w="1417"/>
        <w:gridCol w:w="1418"/>
      </w:tblGrid>
      <w:tr w:rsidR="0061405E">
        <w:trPr>
          <w:trHeight w:val="370"/>
        </w:trPr>
        <w:tc>
          <w:tcPr>
            <w:tcW w:w="994"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74" w:firstLine="0"/>
            </w:pPr>
            <w:r>
              <w:rPr>
                <w:sz w:val="21"/>
              </w:rPr>
              <w:t>区</w:t>
            </w:r>
            <w:r>
              <w:rPr>
                <w:sz w:val="21"/>
              </w:rPr>
              <w:t xml:space="preserve"> </w:t>
            </w:r>
            <w:r>
              <w:rPr>
                <w:sz w:val="21"/>
              </w:rPr>
              <w:t>分</w:t>
            </w:r>
            <w:r>
              <w:rPr>
                <w:sz w:val="21"/>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2" w:firstLine="0"/>
              <w:jc w:val="both"/>
            </w:pPr>
            <w:r>
              <w:rPr>
                <w:sz w:val="18"/>
              </w:rPr>
              <w:t>50</w:t>
            </w:r>
            <w:r>
              <w:rPr>
                <w:sz w:val="18"/>
              </w:rPr>
              <w:t>万円未満</w:t>
            </w: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2" w:firstLine="0"/>
              <w:jc w:val="both"/>
            </w:pPr>
            <w:r>
              <w:rPr>
                <w:sz w:val="18"/>
              </w:rPr>
              <w:t>50</w:t>
            </w:r>
            <w:r>
              <w:rPr>
                <w:sz w:val="18"/>
              </w:rPr>
              <w:t>万円以上</w:t>
            </w:r>
            <w:r>
              <w:rPr>
                <w:sz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3" w:firstLine="0"/>
            </w:pPr>
            <w:r>
              <w:rPr>
                <w:sz w:val="18"/>
              </w:rPr>
              <w:t>100</w:t>
            </w:r>
            <w:r>
              <w:rPr>
                <w:sz w:val="18"/>
              </w:rPr>
              <w:t>万円以上</w:t>
            </w:r>
            <w:r>
              <w:rPr>
                <w:sz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firstLine="0"/>
            </w:pPr>
            <w:r>
              <w:rPr>
                <w:sz w:val="18"/>
              </w:rPr>
              <w:t>500</w:t>
            </w:r>
            <w:r>
              <w:rPr>
                <w:sz w:val="18"/>
              </w:rPr>
              <w:t>万円以上</w:t>
            </w:r>
            <w:r>
              <w:rPr>
                <w:sz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2" w:firstLine="0"/>
              <w:jc w:val="both"/>
            </w:pPr>
            <w:r>
              <w:rPr>
                <w:sz w:val="18"/>
              </w:rPr>
              <w:t>1,000</w:t>
            </w:r>
            <w:r>
              <w:rPr>
                <w:sz w:val="18"/>
              </w:rPr>
              <w:t>万円以上</w:t>
            </w:r>
            <w:r>
              <w:rPr>
                <w:sz w:val="18"/>
              </w:rPr>
              <w:t xml:space="preserve"> </w:t>
            </w:r>
          </w:p>
        </w:tc>
      </w:tr>
      <w:tr w:rsidR="0061405E">
        <w:trPr>
          <w:trHeight w:val="373"/>
        </w:trPr>
        <w:tc>
          <w:tcPr>
            <w:tcW w:w="994"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74" w:firstLine="0"/>
              <w:jc w:val="both"/>
            </w:pPr>
            <w:r>
              <w:rPr>
                <w:sz w:val="21"/>
              </w:rPr>
              <w:t>団体数</w:t>
            </w:r>
            <w:r>
              <w:rPr>
                <w:sz w:val="21"/>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82" w:firstLine="0"/>
              <w:jc w:val="center"/>
            </w:pPr>
            <w:r>
              <w:rPr>
                <w:sz w:val="21"/>
              </w:rPr>
              <w:t>７６</w:t>
            </w:r>
            <w:r>
              <w:rPr>
                <w:sz w:val="21"/>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85" w:firstLine="0"/>
              <w:jc w:val="center"/>
            </w:pPr>
            <w:r>
              <w:rPr>
                <w:sz w:val="21"/>
              </w:rPr>
              <w:t>３８</w:t>
            </w:r>
            <w:r>
              <w:rPr>
                <w:sz w:val="21"/>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87" w:firstLine="0"/>
              <w:jc w:val="center"/>
            </w:pPr>
            <w:r>
              <w:rPr>
                <w:sz w:val="21"/>
              </w:rPr>
              <w:t>１０８</w:t>
            </w:r>
            <w:r>
              <w:rPr>
                <w:sz w:val="21"/>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86" w:firstLine="0"/>
              <w:jc w:val="center"/>
            </w:pPr>
            <w:r>
              <w:rPr>
                <w:sz w:val="21"/>
              </w:rPr>
              <w:t>２１</w:t>
            </w:r>
            <w:r>
              <w:rPr>
                <w:sz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1405E" w:rsidRDefault="002329AA">
            <w:pPr>
              <w:spacing w:after="0"/>
              <w:ind w:left="0" w:right="88" w:firstLine="0"/>
              <w:jc w:val="center"/>
            </w:pPr>
            <w:r>
              <w:rPr>
                <w:sz w:val="21"/>
              </w:rPr>
              <w:t>１０</w:t>
            </w:r>
            <w:r>
              <w:rPr>
                <w:sz w:val="21"/>
              </w:rPr>
              <w:t xml:space="preserve"> </w:t>
            </w:r>
          </w:p>
        </w:tc>
      </w:tr>
    </w:tbl>
    <w:p w:rsidR="0061405E" w:rsidRDefault="002329AA">
      <w:pPr>
        <w:spacing w:after="94"/>
        <w:ind w:left="0" w:firstLine="0"/>
      </w:pPr>
      <w:r>
        <w:rPr>
          <w:sz w:val="21"/>
        </w:rPr>
        <w:t xml:space="preserve"> </w:t>
      </w:r>
    </w:p>
    <w:p w:rsidR="0061405E" w:rsidRDefault="002329AA">
      <w:pPr>
        <w:numPr>
          <w:ilvl w:val="0"/>
          <w:numId w:val="3"/>
        </w:numPr>
        <w:spacing w:after="84"/>
        <w:ind w:hanging="425"/>
      </w:pPr>
      <w:r>
        <w:t>会計事務を扱う根拠</w:t>
      </w:r>
      <w:r>
        <w:t xml:space="preserve"> </w:t>
      </w:r>
    </w:p>
    <w:p w:rsidR="0061405E" w:rsidRDefault="002329AA">
      <w:pPr>
        <w:spacing w:line="321" w:lineRule="auto"/>
        <w:ind w:left="708" w:firstLine="185"/>
      </w:pPr>
      <w:r>
        <w:t>市職員が団体の事務に携わる場合は、規約や会則等を整備し、その根拠を明らかにしておく必要がある。ほとんどの団体で、事務局を市役所の担当課に置くことが規約等で規定されているが、根拠が明確でないものが</w:t>
      </w:r>
      <w:r>
        <w:t>９団体（</w:t>
      </w:r>
      <w:r>
        <w:t>3.6</w:t>
      </w:r>
      <w:r>
        <w:t>％）あった。</w:t>
      </w:r>
      <w:r>
        <w:t xml:space="preserve"> </w:t>
      </w:r>
    </w:p>
    <w:p w:rsidR="0061405E" w:rsidRDefault="002329AA">
      <w:pPr>
        <w:spacing w:after="79"/>
        <w:ind w:left="0" w:firstLine="0"/>
      </w:pPr>
      <w:r>
        <w:t xml:space="preserve"> </w:t>
      </w:r>
    </w:p>
    <w:p w:rsidR="0061405E" w:rsidRDefault="002329AA">
      <w:pPr>
        <w:spacing w:after="94"/>
        <w:ind w:left="116"/>
      </w:pPr>
      <w:r>
        <w:t>(2)</w:t>
      </w:r>
      <w:r>
        <w:rPr>
          <w:rFonts w:ascii="Arial" w:eastAsia="Arial" w:hAnsi="Arial" w:cs="Arial"/>
        </w:rPr>
        <w:t xml:space="preserve"> </w:t>
      </w:r>
      <w:r>
        <w:t xml:space="preserve"> </w:t>
      </w:r>
      <w:r>
        <w:t>会計事務について</w:t>
      </w:r>
      <w:r>
        <w:t xml:space="preserve"> </w:t>
      </w:r>
    </w:p>
    <w:p w:rsidR="0061405E" w:rsidRDefault="002329AA">
      <w:pPr>
        <w:numPr>
          <w:ilvl w:val="0"/>
          <w:numId w:val="4"/>
        </w:numPr>
        <w:spacing w:after="84"/>
        <w:ind w:hanging="425"/>
      </w:pPr>
      <w:r>
        <w:t>入出金の決裁</w:t>
      </w:r>
      <w:r>
        <w:t xml:space="preserve"> </w:t>
      </w:r>
    </w:p>
    <w:p w:rsidR="0061405E" w:rsidRDefault="002329AA">
      <w:pPr>
        <w:spacing w:line="327" w:lineRule="auto"/>
        <w:ind w:left="420" w:firstLine="221"/>
      </w:pPr>
      <w:r>
        <w:t>出納事務は、不正や事故防止の観点から、組織的に相互確認の仕組みのもとに処理されるべきもので、入出金にあたっては、調書等に証拠書類を添付して上司の決裁を受けた上で処理すべきである。決裁を執っていない事案が</w:t>
      </w:r>
      <w:r>
        <w:t xml:space="preserve"> 52 </w:t>
      </w:r>
      <w:r>
        <w:t>団体（</w:t>
      </w:r>
      <w:r>
        <w:t>20.6</w:t>
      </w:r>
      <w:r>
        <w:t>％）あったが、そのほとんどは入金時に処理されていないものであった。</w:t>
      </w:r>
      <w:r>
        <w:t xml:space="preserve"> </w:t>
      </w:r>
    </w:p>
    <w:p w:rsidR="0061405E" w:rsidRDefault="002329AA">
      <w:pPr>
        <w:spacing w:after="79"/>
        <w:ind w:left="298" w:firstLine="0"/>
      </w:pPr>
      <w:r>
        <w:t xml:space="preserve"> </w:t>
      </w:r>
    </w:p>
    <w:p w:rsidR="0061405E" w:rsidRDefault="002329AA">
      <w:pPr>
        <w:numPr>
          <w:ilvl w:val="0"/>
          <w:numId w:val="4"/>
        </w:numPr>
        <w:spacing w:after="84"/>
        <w:ind w:hanging="425"/>
      </w:pPr>
      <w:r>
        <w:t>預金通帳等の保管</w:t>
      </w:r>
      <w:r>
        <w:t xml:space="preserve"> </w:t>
      </w:r>
    </w:p>
    <w:p w:rsidR="0061405E" w:rsidRDefault="002329AA">
      <w:pPr>
        <w:spacing w:line="321" w:lineRule="auto"/>
        <w:ind w:left="424" w:hanging="439"/>
      </w:pPr>
      <w:r>
        <w:t xml:space="preserve">   </w:t>
      </w:r>
      <w:r>
        <w:t>預金通帳、届出印については、紛失や盗難防止の観点から、鍵のかかるキャビネットや金庫で厳重に保管すべきであるが</w:t>
      </w:r>
      <w:r>
        <w:t>、担当職員の机の引出で保管しているなど不適切な事案が</w:t>
      </w:r>
      <w:r>
        <w:t>36</w:t>
      </w:r>
      <w:r>
        <w:t>団体（</w:t>
      </w:r>
      <w:r>
        <w:t>14.2</w:t>
      </w:r>
      <w:r>
        <w:t>％）あった。預金通帳と届出印があれば、団体の財産である預金を容易に出金できることから、厳重な管理が必要である。</w:t>
      </w:r>
      <w:r>
        <w:t xml:space="preserve"> </w:t>
      </w:r>
    </w:p>
    <w:p w:rsidR="0061405E" w:rsidRDefault="002329AA">
      <w:pPr>
        <w:spacing w:after="79"/>
        <w:ind w:left="0" w:firstLine="0"/>
      </w:pPr>
      <w:r>
        <w:lastRenderedPageBreak/>
        <w:t xml:space="preserve"> </w:t>
      </w:r>
    </w:p>
    <w:p w:rsidR="0061405E" w:rsidRDefault="002329AA">
      <w:pPr>
        <w:numPr>
          <w:ilvl w:val="0"/>
          <w:numId w:val="4"/>
        </w:numPr>
        <w:spacing w:after="84"/>
        <w:ind w:hanging="425"/>
      </w:pPr>
      <w:r>
        <w:t>現金の取扱い</w:t>
      </w:r>
      <w:r>
        <w:t xml:space="preserve"> </w:t>
      </w:r>
    </w:p>
    <w:p w:rsidR="0061405E" w:rsidRDefault="002329AA">
      <w:pPr>
        <w:spacing w:line="321" w:lineRule="auto"/>
        <w:ind w:left="424" w:hanging="439"/>
      </w:pPr>
      <w:r>
        <w:t xml:space="preserve">   </w:t>
      </w:r>
      <w:r>
        <w:t>職員が現金を取り扱う場合、受領後、当日又は翌日には金融機関に預け入れることが望ましいが、数日間手元で現金を保管している事案が</w:t>
      </w:r>
      <w:r>
        <w:t>58</w:t>
      </w:r>
      <w:r>
        <w:t>団体あった。紛失や盗難防止の観点から、極力現金は手元に置かず、速やかに処理すべきである。</w:t>
      </w:r>
      <w:r>
        <w:t xml:space="preserve"> </w:t>
      </w:r>
    </w:p>
    <w:p w:rsidR="0061405E" w:rsidRDefault="002329AA">
      <w:pPr>
        <w:spacing w:after="79"/>
        <w:ind w:left="0" w:firstLine="0"/>
      </w:pPr>
      <w:r>
        <w:t xml:space="preserve"> </w:t>
      </w:r>
    </w:p>
    <w:p w:rsidR="0061405E" w:rsidRDefault="002329AA">
      <w:pPr>
        <w:numPr>
          <w:ilvl w:val="0"/>
          <w:numId w:val="4"/>
        </w:numPr>
        <w:spacing w:after="84"/>
        <w:ind w:hanging="425"/>
      </w:pPr>
      <w:r>
        <w:t>現金出納簿の整備</w:t>
      </w:r>
      <w:r>
        <w:t xml:space="preserve"> </w:t>
      </w:r>
    </w:p>
    <w:p w:rsidR="0061405E" w:rsidRDefault="002329AA">
      <w:pPr>
        <w:spacing w:after="69" w:line="321" w:lineRule="auto"/>
        <w:ind w:left="439" w:hanging="439"/>
        <w:jc w:val="both"/>
      </w:pPr>
      <w:r>
        <w:t xml:space="preserve">   </w:t>
      </w:r>
      <w:r>
        <w:t>現金出納簿は、現金の出入りを記帳し、現金残高や現金の</w:t>
      </w:r>
      <w:r>
        <w:t>動きを管理する帳簿であり、団体では必ず備えておくべき帳簿である。概ね適切に処理されていたが、現金を扱っているにも関わらず記帳していない事案が</w:t>
      </w:r>
      <w:r>
        <w:t>18</w:t>
      </w:r>
      <w:r>
        <w:t>団体あった。</w:t>
      </w:r>
      <w:r>
        <w:t xml:space="preserve"> </w:t>
      </w:r>
    </w:p>
    <w:p w:rsidR="0061405E" w:rsidRDefault="002329AA">
      <w:pPr>
        <w:spacing w:after="79"/>
        <w:ind w:left="0" w:firstLine="0"/>
      </w:pPr>
      <w:r>
        <w:t xml:space="preserve"> </w:t>
      </w:r>
    </w:p>
    <w:p w:rsidR="0061405E" w:rsidRDefault="002329AA">
      <w:pPr>
        <w:numPr>
          <w:ilvl w:val="0"/>
          <w:numId w:val="4"/>
        </w:numPr>
        <w:spacing w:after="84"/>
        <w:ind w:hanging="425"/>
      </w:pPr>
      <w:r>
        <w:t>領収書の管理</w:t>
      </w:r>
      <w:r>
        <w:t xml:space="preserve"> </w:t>
      </w:r>
    </w:p>
    <w:p w:rsidR="0061405E" w:rsidRDefault="002329AA">
      <w:pPr>
        <w:spacing w:line="321" w:lineRule="auto"/>
        <w:ind w:left="420" w:firstLine="221"/>
      </w:pPr>
      <w:r>
        <w:t>現金を受け取った場合は相手方に領収書を発行することになるが、不正防止の観点から、領収書には連番を付して管理するともに、書き損じた場合は、廃棄せず証拠書類とともに保存する必要がある。しかし、現金を扱っているにも関わらず、領収書の連番管理等が適切に行われていない事案が多く見られた。</w:t>
      </w:r>
      <w:r>
        <w:t xml:space="preserve"> </w:t>
      </w:r>
    </w:p>
    <w:p w:rsidR="0061405E" w:rsidRDefault="002329AA">
      <w:pPr>
        <w:spacing w:line="321" w:lineRule="auto"/>
        <w:ind w:left="420" w:firstLine="221"/>
      </w:pPr>
      <w:r>
        <w:t>なお、最近では市販の複写領収書を使用せず、事務の効</w:t>
      </w:r>
      <w:r>
        <w:t>率化のためパソコンで印刷している例が多くなっているが、その場合でも、証拠書類としてしっかり管理する必要がある。</w:t>
      </w:r>
      <w:r>
        <w:t xml:space="preserve"> </w:t>
      </w:r>
    </w:p>
    <w:p w:rsidR="0061405E" w:rsidRDefault="002329AA">
      <w:pPr>
        <w:spacing w:after="79"/>
        <w:ind w:left="0" w:firstLine="0"/>
      </w:pPr>
      <w:r>
        <w:t xml:space="preserve"> </w:t>
      </w:r>
    </w:p>
    <w:p w:rsidR="0061405E" w:rsidRDefault="002329AA">
      <w:pPr>
        <w:spacing w:after="84"/>
        <w:ind w:left="116"/>
      </w:pPr>
      <w:r>
        <w:t>(3)</w:t>
      </w:r>
      <w:r>
        <w:rPr>
          <w:rFonts w:ascii="Arial" w:eastAsia="Arial" w:hAnsi="Arial" w:cs="Arial"/>
        </w:rPr>
        <w:t xml:space="preserve"> </w:t>
      </w:r>
      <w:r>
        <w:t xml:space="preserve"> </w:t>
      </w:r>
      <w:r>
        <w:t>団体の監査について</w:t>
      </w:r>
      <w:r>
        <w:t xml:space="preserve"> </w:t>
      </w:r>
    </w:p>
    <w:p w:rsidR="0061405E" w:rsidRDefault="002329AA">
      <w:pPr>
        <w:spacing w:line="321" w:lineRule="auto"/>
        <w:ind w:left="283" w:firstLine="295"/>
      </w:pPr>
      <w:r>
        <w:t>団体における監査は、会計事務が適切に処理されているかをチェックする意味で非常に重要である。ほとんどの団体において、決算時に監査を行い総会等で監査報告を行っているが、</w:t>
      </w:r>
      <w:r>
        <w:t>12</w:t>
      </w:r>
      <w:r>
        <w:t>団体（</w:t>
      </w:r>
      <w:r>
        <w:t>4.7</w:t>
      </w:r>
      <w:r>
        <w:t>％）で実施していなかった。</w:t>
      </w:r>
      <w:r>
        <w:t xml:space="preserve"> </w:t>
      </w:r>
    </w:p>
    <w:p w:rsidR="0061405E" w:rsidRDefault="002329AA">
      <w:pPr>
        <w:spacing w:after="69"/>
        <w:ind w:left="0" w:firstLine="0"/>
      </w:pPr>
      <w:r>
        <w:t xml:space="preserve"> </w:t>
      </w:r>
    </w:p>
    <w:p w:rsidR="0061405E" w:rsidRDefault="002329AA">
      <w:pPr>
        <w:spacing w:after="69"/>
        <w:ind w:left="0" w:firstLine="0"/>
      </w:pPr>
      <w:r>
        <w:t xml:space="preserve"> </w:t>
      </w:r>
    </w:p>
    <w:p w:rsidR="0061405E" w:rsidRDefault="002329AA">
      <w:pPr>
        <w:spacing w:after="69"/>
        <w:ind w:left="-5"/>
      </w:pPr>
      <w:r>
        <w:t>８</w:t>
      </w:r>
      <w:r>
        <w:t xml:space="preserve"> </w:t>
      </w:r>
      <w:r>
        <w:t>監査委員の意見</w:t>
      </w:r>
      <w:r>
        <w:t xml:space="preserve"> </w:t>
      </w:r>
    </w:p>
    <w:p w:rsidR="0061405E" w:rsidRDefault="002329AA">
      <w:pPr>
        <w:spacing w:line="321" w:lineRule="auto"/>
        <w:ind w:left="180" w:firstLine="221"/>
      </w:pPr>
      <w:r>
        <w:t>全国の自治体において、準公金の管理は、</w:t>
      </w:r>
      <w:r>
        <w:t>基本的には当該団体自らが一連の事務を執るべきであるが、各団体での事務員確保が困難なこと、また、事業推進上、一定の</w:t>
      </w:r>
    </w:p>
    <w:p w:rsidR="0061405E" w:rsidRDefault="002329AA">
      <w:pPr>
        <w:spacing w:after="69"/>
        <w:ind w:left="190"/>
      </w:pPr>
      <w:r>
        <w:t>関与が必要とされることなどにより、市職員が携わっているのが現状のようである。</w:t>
      </w:r>
      <w:r>
        <w:t xml:space="preserve"> </w:t>
      </w:r>
    </w:p>
    <w:p w:rsidR="0061405E" w:rsidRDefault="002329AA">
      <w:pPr>
        <w:spacing w:line="321" w:lineRule="auto"/>
        <w:ind w:left="206" w:hanging="221"/>
      </w:pPr>
      <w:r>
        <w:t xml:space="preserve">  </w:t>
      </w:r>
      <w:r>
        <w:t>高岡市においても、今回の監査を通して、市職員が様々な分野の団体の準公金を管理している実態が分かった。これらは高岡市財務会計規則の適用対象外となっているが、本市職員による準公金の取扱いにおいて事故等が発生した場合には、担当職員に加え市の管理責任が問われることになる。市民目線からは、公金であるか準公金であ</w:t>
      </w:r>
      <w:r>
        <w:lastRenderedPageBreak/>
        <w:t>るかの違いはないことから、準公金を扱う際には、公金同様に厳格な取扱いに留意すべきである。</w:t>
      </w:r>
      <w:r>
        <w:t xml:space="preserve"> </w:t>
      </w:r>
    </w:p>
    <w:p w:rsidR="0061405E" w:rsidRDefault="002329AA">
      <w:pPr>
        <w:spacing w:line="321" w:lineRule="auto"/>
        <w:ind w:left="206" w:hanging="221"/>
      </w:pPr>
      <w:r>
        <w:t xml:space="preserve">  </w:t>
      </w:r>
      <w:r>
        <w:t>今回の監査では、不正や事故防止の観点から、準公金の出納、管理等の事務が適切に行われているかに重点を置いて実施した。</w:t>
      </w:r>
      <w:r>
        <w:t xml:space="preserve"> </w:t>
      </w:r>
    </w:p>
    <w:p w:rsidR="0061405E" w:rsidRDefault="002329AA">
      <w:pPr>
        <w:spacing w:line="321" w:lineRule="auto"/>
        <w:ind w:left="211" w:firstLine="218"/>
      </w:pPr>
      <w:r>
        <w:t>監査の結果、概ね適切に処理されていたが、一部の団体の事務において、入出金の決裁、現金、預金通帳等の保管、領収書の管理などに、不適切な事案が見受けられた。これらは監査の都度、対象となる部局長に講評として提示しており、その後、措置状況が示されていることから、順次適切に対応されていると考える。</w:t>
      </w:r>
      <w:r>
        <w:t xml:space="preserve"> </w:t>
      </w:r>
    </w:p>
    <w:p w:rsidR="0061405E" w:rsidRDefault="002329AA">
      <w:pPr>
        <w:spacing w:line="321" w:lineRule="auto"/>
        <w:ind w:left="218" w:hanging="638"/>
      </w:pPr>
      <w:r>
        <w:t xml:space="preserve">    </w:t>
      </w:r>
      <w:r>
        <w:t>最後に、公金の管理については、財務会計規則やマニュアルなどによって厳格に運用されているが、準公金については、事業を所管する部局の裁量に委ねられている部分が多いことから、厳格なチェックよりも利便性を優先した運用</w:t>
      </w:r>
      <w:r>
        <w:t>が気付かぬうちにとられている場合もある。準公金は行政を補完し、行政の活動を支える団体の貴重な財産であるという認識のもとに、組織としての内部統制、内部牽制を機能させ、不正や事故等が発生しない仕組みづくりに努められるよう要望するものである。</w:t>
      </w:r>
      <w:r>
        <w:rPr>
          <w:rFonts w:ascii="Century" w:eastAsia="Century" w:hAnsi="Century" w:cs="Century"/>
        </w:rPr>
        <w:t xml:space="preserve"> </w:t>
      </w:r>
    </w:p>
    <w:sectPr w:rsidR="0061405E">
      <w:footerReference w:type="even" r:id="rId7"/>
      <w:footerReference w:type="default" r:id="rId8"/>
      <w:footerReference w:type="first" r:id="rId9"/>
      <w:pgSz w:w="11906" w:h="16838"/>
      <w:pgMar w:top="1707" w:right="1589" w:bottom="1661" w:left="1702" w:header="72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9AA" w:rsidRDefault="002329AA">
      <w:pPr>
        <w:spacing w:after="0" w:line="240" w:lineRule="auto"/>
      </w:pPr>
      <w:r>
        <w:separator/>
      </w:r>
    </w:p>
  </w:endnote>
  <w:endnote w:type="continuationSeparator" w:id="0">
    <w:p w:rsidR="002329AA" w:rsidRDefault="0023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5E" w:rsidRDefault="002329AA">
    <w:pPr>
      <w:spacing w:after="0"/>
      <w:ind w:left="0" w:right="115" w:firstLine="0"/>
      <w:jc w:val="center"/>
    </w:pPr>
    <w:r>
      <w:rPr>
        <w:rFonts w:ascii="Century" w:eastAsia="Century" w:hAnsi="Century" w:cs="Century"/>
        <w:sz w:val="21"/>
      </w:rPr>
      <w:t xml:space="preserve">- </w:t>
    </w:r>
    <w:r>
      <w:rPr>
        <w:rFonts w:ascii="Century" w:eastAsia="Century" w:hAnsi="Century" w:cs="Century"/>
        <w:sz w:val="21"/>
      </w:rPr>
      <w:fldChar w:fldCharType="begin"/>
    </w:r>
    <w:r>
      <w:rPr>
        <w:rFonts w:ascii="Century" w:eastAsia="Century" w:hAnsi="Century" w:cs="Century"/>
        <w:sz w:val="21"/>
      </w:rPr>
      <w:instrText xml:space="preserve"> PAGE   \* MERGEFORMAT </w:instrText>
    </w:r>
    <w:r>
      <w:rPr>
        <w:rFonts w:ascii="Century" w:eastAsia="Century" w:hAnsi="Century" w:cs="Century"/>
        <w:sz w:val="21"/>
      </w:rP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p w:rsidR="0061405E" w:rsidRDefault="002329AA">
    <w:pPr>
      <w:spacing w:after="0"/>
      <w:ind w:left="0" w:firstLine="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5E" w:rsidRDefault="002329AA">
    <w:pPr>
      <w:spacing w:after="0"/>
      <w:ind w:left="0" w:right="115" w:firstLine="0"/>
      <w:jc w:val="center"/>
    </w:pPr>
    <w:r>
      <w:rPr>
        <w:rFonts w:ascii="Century" w:eastAsia="Century" w:hAnsi="Century" w:cs="Century"/>
        <w:sz w:val="21"/>
      </w:rPr>
      <w:t xml:space="preserve">- </w:t>
    </w:r>
    <w:r>
      <w:rPr>
        <w:rFonts w:ascii="Century" w:eastAsia="Century" w:hAnsi="Century" w:cs="Century"/>
        <w:sz w:val="21"/>
      </w:rPr>
      <w:fldChar w:fldCharType="begin"/>
    </w:r>
    <w:r>
      <w:rPr>
        <w:rFonts w:ascii="Century" w:eastAsia="Century" w:hAnsi="Century" w:cs="Century"/>
        <w:sz w:val="21"/>
      </w:rPr>
      <w:instrText xml:space="preserve"> PAGE   \* MERGEFORMAT </w:instrText>
    </w:r>
    <w:r>
      <w:rPr>
        <w:rFonts w:ascii="Century" w:eastAsia="Century" w:hAnsi="Century" w:cs="Century"/>
        <w:sz w:val="21"/>
      </w:rPr>
      <w:fldChar w:fldCharType="separate"/>
    </w:r>
    <w:r w:rsidR="009069CD">
      <w:rPr>
        <w:rFonts w:ascii="Century" w:eastAsia="Century" w:hAnsi="Century" w:cs="Century"/>
        <w:noProof/>
        <w:sz w:val="21"/>
      </w:rPr>
      <w:t>5</w:t>
    </w:r>
    <w:r>
      <w:rPr>
        <w:rFonts w:ascii="Century" w:eastAsia="Century" w:hAnsi="Century" w:cs="Century"/>
        <w:sz w:val="21"/>
      </w:rPr>
      <w:fldChar w:fldCharType="end"/>
    </w:r>
    <w:r>
      <w:rPr>
        <w:rFonts w:ascii="Century" w:eastAsia="Century" w:hAnsi="Century" w:cs="Century"/>
        <w:sz w:val="21"/>
      </w:rPr>
      <w:t xml:space="preserve"> </w:t>
    </w:r>
    <w:r>
      <w:rPr>
        <w:rFonts w:ascii="Century" w:eastAsia="Century" w:hAnsi="Century" w:cs="Century"/>
        <w:sz w:val="21"/>
      </w:rPr>
      <w:t xml:space="preserve">- </w:t>
    </w:r>
  </w:p>
  <w:p w:rsidR="0061405E" w:rsidRDefault="002329AA">
    <w:pPr>
      <w:spacing w:after="0"/>
      <w:ind w:left="0" w:firstLine="0"/>
    </w:pP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5E" w:rsidRDefault="002329AA">
    <w:pPr>
      <w:spacing w:after="0"/>
      <w:ind w:left="0" w:right="115" w:firstLine="0"/>
      <w:jc w:val="center"/>
    </w:pPr>
    <w:r>
      <w:rPr>
        <w:rFonts w:ascii="Century" w:eastAsia="Century" w:hAnsi="Century" w:cs="Century"/>
        <w:sz w:val="21"/>
      </w:rPr>
      <w:t xml:space="preserve">- </w:t>
    </w:r>
    <w:r>
      <w:rPr>
        <w:rFonts w:ascii="Century" w:eastAsia="Century" w:hAnsi="Century" w:cs="Century"/>
        <w:sz w:val="21"/>
      </w:rPr>
      <w:fldChar w:fldCharType="begin"/>
    </w:r>
    <w:r>
      <w:rPr>
        <w:rFonts w:ascii="Century" w:eastAsia="Century" w:hAnsi="Century" w:cs="Century"/>
        <w:sz w:val="21"/>
      </w:rPr>
      <w:instrText xml:space="preserve"> PAGE   \* MERGEFORMAT </w:instrText>
    </w:r>
    <w:r>
      <w:rPr>
        <w:rFonts w:ascii="Century" w:eastAsia="Century" w:hAnsi="Century" w:cs="Century"/>
        <w:sz w:val="21"/>
      </w:rP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p w:rsidR="0061405E" w:rsidRDefault="002329AA">
    <w:pPr>
      <w:spacing w:after="0"/>
      <w:ind w:left="0" w:firstLine="0"/>
    </w:pP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9AA" w:rsidRDefault="002329AA">
      <w:pPr>
        <w:spacing w:after="0" w:line="240" w:lineRule="auto"/>
      </w:pPr>
      <w:r>
        <w:separator/>
      </w:r>
    </w:p>
  </w:footnote>
  <w:footnote w:type="continuationSeparator" w:id="0">
    <w:p w:rsidR="002329AA" w:rsidRDefault="00232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C4E11"/>
    <w:multiLevelType w:val="hybridMultilevel"/>
    <w:tmpl w:val="303E0840"/>
    <w:lvl w:ilvl="0" w:tplc="ED3EF558">
      <w:start w:val="1"/>
      <w:numFmt w:val="decimalEnclosedCircle"/>
      <w:lvlText w:val="%1"/>
      <w:lvlJc w:val="left"/>
      <w:pPr>
        <w:ind w:left="7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F4707A">
      <w:start w:val="1"/>
      <w:numFmt w:val="lowerLetter"/>
      <w:lvlText w:val="%2"/>
      <w:lvlJc w:val="left"/>
      <w:pPr>
        <w:ind w:left="13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5540A28">
      <w:start w:val="1"/>
      <w:numFmt w:val="lowerRoman"/>
      <w:lvlText w:val="%3"/>
      <w:lvlJc w:val="left"/>
      <w:pPr>
        <w:ind w:left="20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2B402F4">
      <w:start w:val="1"/>
      <w:numFmt w:val="decimal"/>
      <w:lvlText w:val="%4"/>
      <w:lvlJc w:val="left"/>
      <w:pPr>
        <w:ind w:left="28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9A8A7B6">
      <w:start w:val="1"/>
      <w:numFmt w:val="lowerLetter"/>
      <w:lvlText w:val="%5"/>
      <w:lvlJc w:val="left"/>
      <w:pPr>
        <w:ind w:left="35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B4E6B16">
      <w:start w:val="1"/>
      <w:numFmt w:val="lowerRoman"/>
      <w:lvlText w:val="%6"/>
      <w:lvlJc w:val="left"/>
      <w:pPr>
        <w:ind w:left="42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4E26042">
      <w:start w:val="1"/>
      <w:numFmt w:val="decimal"/>
      <w:lvlText w:val="%7"/>
      <w:lvlJc w:val="left"/>
      <w:pPr>
        <w:ind w:left="49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7DAE0CC">
      <w:start w:val="1"/>
      <w:numFmt w:val="lowerLetter"/>
      <w:lvlText w:val="%8"/>
      <w:lvlJc w:val="left"/>
      <w:pPr>
        <w:ind w:left="56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02C8360">
      <w:start w:val="1"/>
      <w:numFmt w:val="lowerRoman"/>
      <w:lvlText w:val="%9"/>
      <w:lvlJc w:val="left"/>
      <w:pPr>
        <w:ind w:left="64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DA2726"/>
    <w:multiLevelType w:val="hybridMultilevel"/>
    <w:tmpl w:val="0C4AB3D0"/>
    <w:lvl w:ilvl="0" w:tplc="C30E9754">
      <w:start w:val="1"/>
      <w:numFmt w:val="decimal"/>
      <w:lvlText w:val="(%1)"/>
      <w:lvlJc w:val="left"/>
      <w:pPr>
        <w:ind w:left="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EAADE66">
      <w:start w:val="1"/>
      <w:numFmt w:val="lowerLetter"/>
      <w:lvlText w:val="%2"/>
      <w:lvlJc w:val="left"/>
      <w:pPr>
        <w:ind w:left="1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626F126">
      <w:start w:val="1"/>
      <w:numFmt w:val="lowerRoman"/>
      <w:lvlText w:val="%3"/>
      <w:lvlJc w:val="left"/>
      <w:pPr>
        <w:ind w:left="1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7A802AC">
      <w:start w:val="1"/>
      <w:numFmt w:val="decimal"/>
      <w:lvlText w:val="%4"/>
      <w:lvlJc w:val="left"/>
      <w:pPr>
        <w:ind w:left="2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4EFA8C">
      <w:start w:val="1"/>
      <w:numFmt w:val="lowerLetter"/>
      <w:lvlText w:val="%5"/>
      <w:lvlJc w:val="left"/>
      <w:pPr>
        <w:ind w:left="3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66E2F94">
      <w:start w:val="1"/>
      <w:numFmt w:val="lowerRoman"/>
      <w:lvlText w:val="%6"/>
      <w:lvlJc w:val="left"/>
      <w:pPr>
        <w:ind w:left="4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8C08254">
      <w:start w:val="1"/>
      <w:numFmt w:val="decimal"/>
      <w:lvlText w:val="%7"/>
      <w:lvlJc w:val="left"/>
      <w:pPr>
        <w:ind w:left="48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2FA79A8">
      <w:start w:val="1"/>
      <w:numFmt w:val="lowerLetter"/>
      <w:lvlText w:val="%8"/>
      <w:lvlJc w:val="left"/>
      <w:pPr>
        <w:ind w:left="55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EBA0C04">
      <w:start w:val="1"/>
      <w:numFmt w:val="lowerRoman"/>
      <w:lvlText w:val="%9"/>
      <w:lvlJc w:val="left"/>
      <w:pPr>
        <w:ind w:left="63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B7251F"/>
    <w:multiLevelType w:val="hybridMultilevel"/>
    <w:tmpl w:val="8BE42DE2"/>
    <w:lvl w:ilvl="0" w:tplc="C5920978">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87AF21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72678F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040B8C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F96669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9A85FF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8D2432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8DE568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FF0776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D4A453A"/>
    <w:multiLevelType w:val="hybridMultilevel"/>
    <w:tmpl w:val="FB5A3FAC"/>
    <w:lvl w:ilvl="0" w:tplc="00A8A13A">
      <w:start w:val="1"/>
      <w:numFmt w:val="decimalEnclosedCircle"/>
      <w:lvlText w:val="%1"/>
      <w:lvlJc w:val="left"/>
      <w:pPr>
        <w:ind w:left="7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6DA58D4">
      <w:start w:val="1"/>
      <w:numFmt w:val="lowerLetter"/>
      <w:lvlText w:val="%2"/>
      <w:lvlJc w:val="left"/>
      <w:pPr>
        <w:ind w:left="14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EE89E60">
      <w:start w:val="1"/>
      <w:numFmt w:val="lowerRoman"/>
      <w:lvlText w:val="%3"/>
      <w:lvlJc w:val="left"/>
      <w:pPr>
        <w:ind w:left="21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006DAC6">
      <w:start w:val="1"/>
      <w:numFmt w:val="decimal"/>
      <w:lvlText w:val="%4"/>
      <w:lvlJc w:val="left"/>
      <w:pPr>
        <w:ind w:left="28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7A45E98">
      <w:start w:val="1"/>
      <w:numFmt w:val="lowerLetter"/>
      <w:lvlText w:val="%5"/>
      <w:lvlJc w:val="left"/>
      <w:pPr>
        <w:ind w:left="36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B8E5E62">
      <w:start w:val="1"/>
      <w:numFmt w:val="lowerRoman"/>
      <w:lvlText w:val="%6"/>
      <w:lvlJc w:val="left"/>
      <w:pPr>
        <w:ind w:left="43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9F8B9D2">
      <w:start w:val="1"/>
      <w:numFmt w:val="decimal"/>
      <w:lvlText w:val="%7"/>
      <w:lvlJc w:val="left"/>
      <w:pPr>
        <w:ind w:left="50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2340990">
      <w:start w:val="1"/>
      <w:numFmt w:val="lowerLetter"/>
      <w:lvlText w:val="%8"/>
      <w:lvlJc w:val="left"/>
      <w:pPr>
        <w:ind w:left="57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7680FF0">
      <w:start w:val="1"/>
      <w:numFmt w:val="lowerRoman"/>
      <w:lvlText w:val="%9"/>
      <w:lvlJc w:val="left"/>
      <w:pPr>
        <w:ind w:left="64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5E"/>
    <w:rsid w:val="002329AA"/>
    <w:rsid w:val="0061405E"/>
    <w:rsid w:val="00906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9E7CBF"/>
  <w15:docId w15:val="{3176E829-B24C-4E5E-8027-DEA36371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cp:lastModifiedBy>高岡市</cp:lastModifiedBy>
  <cp:revision>3</cp:revision>
  <dcterms:created xsi:type="dcterms:W3CDTF">2018-09-07T05:03:00Z</dcterms:created>
  <dcterms:modified xsi:type="dcterms:W3CDTF">2018-09-07T05:03:00Z</dcterms:modified>
</cp:coreProperties>
</file>